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136" w:after="0" w:line="220" w:lineRule="auto"/>
        <w:ind w:left="0" w:right="0" w:firstLine="0"/>
        <w:jc w:val="center"/>
        <w:rPr>
          <w:rFonts w:hint="eastAsia" w:asciiTheme="minorEastAsia" w:hAnsiTheme="minorEastAsia" w:eastAsiaTheme="minorEastAsia" w:cstheme="minorEastAsia"/>
          <w:b/>
          <w:i w:val="0"/>
          <w:smallCaps w:val="0"/>
          <w:strike w:val="0"/>
          <w:color w:val="000000"/>
          <w:sz w:val="44"/>
          <w:szCs w:val="44"/>
          <w:u w:val="none"/>
          <w:shd w:val="clear" w:fill="auto"/>
          <w:vertAlign w:val="baseline"/>
          <w:rtl w:val="0"/>
          <w:lang w:val="en-US" w:eastAsia="zh-CN"/>
        </w:rPr>
      </w:pPr>
      <w:r>
        <w:rPr>
          <w:rFonts w:hint="eastAsia" w:asciiTheme="minorEastAsia" w:hAnsiTheme="minorEastAsia" w:eastAsiaTheme="minorEastAsia" w:cstheme="minorEastAsia"/>
          <w:b/>
          <w:i w:val="0"/>
          <w:smallCaps w:val="0"/>
          <w:strike w:val="0"/>
          <w:color w:val="000000"/>
          <w:sz w:val="44"/>
          <w:szCs w:val="44"/>
          <w:u w:val="none"/>
          <w:shd w:val="clear" w:fill="auto"/>
          <w:vertAlign w:val="baseline"/>
          <w:rtl w:val="0"/>
          <w:lang w:val="en-US" w:eastAsia="zh-CN"/>
        </w:rPr>
        <w:t>EPR Registration Service Entrustment Contract Supplementary Agreement</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322" w:right="0" w:firstLine="0"/>
        <w:jc w:val="left"/>
        <w:textAlignment w:val="baseline"/>
        <w:rPr>
          <w:rFonts w:hint="eastAsia" w:asciiTheme="minorEastAsia" w:hAnsiTheme="minorEastAsia" w:eastAsiaTheme="minorEastAsia" w:cstheme="minorEastAsia"/>
          <w:b/>
          <w:i w:val="0"/>
          <w:smallCaps w:val="0"/>
          <w:strike w:val="0"/>
          <w:color w:val="000000"/>
          <w:sz w:val="24"/>
          <w:szCs w:val="24"/>
          <w:u w:val="none"/>
          <w:shd w:val="clear" w:fill="auto"/>
          <w:vertAlign w:val="baseline"/>
          <w:rtl w:val="0"/>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Party A (Entrusting Party):</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Address:</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Contact Person:</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Telephone:</w:t>
      </w:r>
      <w:r>
        <w:rPr>
          <w:rStyle w:val="EPRUserInput"/>
          <w:rFonts w:hint="eastAsia" w:asciiTheme="minorHAnsi" w:hAnsiTheme="minorHAnsi" w:eastAsiaTheme="minorEastAsia" w:cstheme="minorBidi"/>
          <w:snapToGrid/>
          <w:color w:val="000000"/>
          <w:kern w:val="2"/>
          <w:sz w:val="24"/>
          <w:szCs w:val="32"/>
          <w:rtl w:val="0"/>
          <w:lang w:eastAsia="zh-CN"/>
        </w:rPr>
        <w:t xml:space="preserve"> 1</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Email:</w:t>
      </w:r>
      <w:r>
        <w:rPr>
          <w:rStyle w:val="EPRUserInput"/>
          <w:rFonts w:hint="eastAsia" w:asciiTheme="minorHAnsi" w:hAnsiTheme="minorHAnsi" w:eastAsiaTheme="minorEastAsia" w:cstheme="minorBidi"/>
          <w:snapToGrid/>
          <w:color w:val="000000"/>
          <w:kern w:val="2"/>
          <w:sz w:val="24"/>
          <w:szCs w:val="32"/>
          <w:rtl w:val="0"/>
          <w:lang w:eastAsia="zh-CN"/>
        </w:rPr>
        <w:t xml:space="preserve"> yss2012045056@163.com</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322" w:right="0" w:firstLine="0"/>
        <w:jc w:val="left"/>
        <w:textAlignment w:val="baseline"/>
        <w:rPr>
          <w:rFonts w:hint="eastAsia" w:asciiTheme="minorEastAsia" w:hAnsiTheme="minorEastAsia" w:eastAsiaTheme="minorEastAsia" w:cstheme="minorEastAsia"/>
          <w:b w:val="0"/>
          <w:bCs/>
          <w:i w:val="0"/>
          <w:smallCaps w:val="0"/>
          <w:strike w:val="0"/>
          <w:color w:val="000000"/>
          <w:sz w:val="24"/>
          <w:szCs w:val="24"/>
          <w:u w:val="none"/>
          <w:shd w:val="clear" w:fill="auto"/>
          <w:vertAlign w:val="baseline"/>
          <w:rtl w:val="0"/>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Party B (Agent Party): ECOPV ApS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Address: Njalsgade 21 F 2., 2300 Kobenhavn S, Denmark</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Contact Person: Lin Huang</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Telephone: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Email: info@ecopv-eu.com</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65" w:after="0" w:line="300" w:lineRule="auto"/>
        <w:ind w:left="322" w:right="0" w:firstLine="0"/>
        <w:jc w:val="left"/>
        <w:textAlignment w:val="baseline"/>
        <w:rPr>
          <w:rFonts w:hint="eastAsia" w:asciiTheme="minorEastAsia" w:hAnsiTheme="minorEastAsia" w:eastAsiaTheme="minorEastAsia" w:cstheme="minorEastAsia"/>
          <w:b w:val="0"/>
          <w:bCs/>
          <w:i w:val="0"/>
          <w:smallCaps w:val="0"/>
          <w:strike w:val="0"/>
          <w:color w:val="000000"/>
          <w:sz w:val="24"/>
          <w:szCs w:val="24"/>
          <w:u w:val="none"/>
          <w:shd w:val="clear" w:fill="auto"/>
          <w:vertAlign w:val="baseline"/>
          <w:rtl w:val="0"/>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I. EPR Registration Service Entrustment Items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(I) Party A entrusts Party B to act as the primary contact for Party A's customers regarding Extended Producer's Responsibility (EPR) compliance matters (including WEEE, Battery Law, Packaging Law, Single-Use Plastics Law, etc., hereinafter referred to as "EPR") in specified countries, responsible for the business consultation work, registration processing, and declaration matters for Party A's customers as listed in this supplementary agreement. Party B charges a service fee and provides compliance consultation for the relevant countries, reviews documents and materials, assists in submitting registration materials, quantity declarations, and communication regarding EPR aspects for Party A's customers in the respective countries. If losses are incurred by Party A's customers due to reasons attributable to local institutions, Party B will assist in communication but shall not bear joint liability.</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(II) Service Price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The package prices for EPR in various countries and the prices for adding new brands and categories are detailed in the attached quotation list.</w:t>
      </w:r>
    </w:p>
    <w:p>
      <w:pPr>
        <w:widowControl w:val="0"/>
        <w:numPr>
          <w:ilvl w:val="0"/>
          <w:numId w:val="0"/>
        </w:numPr>
        <w:kinsoku/>
        <w:autoSpaceDE/>
        <w:autoSpaceDN/>
        <w:adjustRightInd/>
        <w:snapToGrid/>
        <w:spacing w:line="240" w:lineRule="auto"/>
        <w:jc w:val="both"/>
        <w:textAlignment w:val="auto"/>
        <w:rPr>
          <w:rFonts w:hint="default" w:asciiTheme="minorHAnsi" w:hAnsiTheme="minorHAnsi" w:eastAsiaTheme="minorEastAsia" w:cstheme="minorBidi"/>
          <w:snapToGrid/>
          <w:color w:val="FF0000"/>
          <w:kern w:val="2"/>
          <w:sz w:val="24"/>
          <w:szCs w:val="32"/>
          <w:rtl w:val="0"/>
          <w:lang w:eastAsia="zh-CN"/>
          <w:woUserID w:val="1"/>
        </w:rPr>
      </w:pPr>
      <w:r>
        <w:rPr>
          <w:rFonts w:hint="default" w:asciiTheme="minorHAnsi" w:hAnsiTheme="minorHAnsi" w:eastAsiaTheme="minorEastAsia" w:cstheme="minorBidi"/>
          <w:snapToGrid/>
          <w:color w:val="FF0000"/>
          <w:kern w:val="2"/>
          <w:sz w:val="24"/>
          <w:szCs w:val="32"/>
          <w:rtl w:val="0"/>
          <w:lang w:eastAsia="zh-CN"/>
          <w:woUserID w:val="1"/>
        </w:rPr>
        <w:t>(The fees for services and registrations under this Contract are determined based on the official fee regulations for 2026 issued by the German legislative body. Should the aforementioned fee regulations be amended or new fees be introduced（Including but not limited to the addition of OfH fees under the German Battery Act）, Party B shall have the right to adjust the prices accordingly, with the final amount subject to the officially effective regulations at that time. Party A confirms and accepts this price adjustment mechanism.)</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Deregistration and Order Cancellation:</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(1) When Party A's customer requests deregistration or order cancellation, corresponding fees will be incurred. Details are shown in the table below:</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tbl>
      <w:tblPr>
        <w:tblStyle w:val="27"/>
        <w:tblW w:w="11188" w:type="dxa"/>
        <w:jc w:val="center"/>
        <w:tblInd w:w="0" w:type="dxa"/>
        <w:tblLayout w:type="fixed"/>
        <w:tblCellMar>
          <w:top w:w="0" w:type="dxa"/>
          <w:left w:w="115" w:type="dxa"/>
          <w:bottom w:w="0" w:type="dxa"/>
          <w:right w:w="115" w:type="dxa"/>
        </w:tblCellMar>
      </w:tblPr>
      <w:tblGrid>
        <w:gridCol w:w="2682"/>
        <w:gridCol w:w="3487"/>
        <w:gridCol w:w="5019"/>
      </w:tblGrid>
      <w:tr>
        <w:tblPrEx>
          <w:tblLayout w:type="fixed"/>
          <w:tblCellMar>
            <w:top w:w="0" w:type="dxa"/>
            <w:left w:w="115" w:type="dxa"/>
            <w:bottom w:w="0" w:type="dxa"/>
            <w:right w:w="115" w:type="dxa"/>
          </w:tblCellMar>
        </w:tblPrEx>
        <w:trPr>
          <w:trHeight w:val="0" w:hRule="atLeast"/>
          <w:jc w:val="center"/>
        </w:trPr>
        <w:tc>
          <w:tcPr>
            <w:tcW w:w="6169" w:type="dxa"/>
            <w:gridSpan w:val="2"/>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b/>
                <w:bCs/>
                <w:color w:val="auto"/>
                <w:spacing w:val="-3"/>
                <w:sz w:val="24"/>
                <w:szCs w:val="24"/>
                <w:highlight w:val="none"/>
              </w:rPr>
            </w:pPr>
            <w:r>
              <w:rPr>
                <w:rFonts w:hint="eastAsia" w:asciiTheme="minorEastAsia" w:hAnsiTheme="minorEastAsia" w:eastAsiaTheme="minorEastAsia" w:cstheme="minorEastAsia"/>
                <w:b/>
                <w:bCs/>
                <w:color w:val="auto"/>
                <w:spacing w:val="-3"/>
                <w:sz w:val="24"/>
                <w:szCs w:val="24"/>
                <w:highlight w:val="none"/>
                <w:rtl w:val="0"/>
              </w:rPr>
              <w:tab/>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Fonts w:hint="eastAsia" w:asciiTheme="minorEastAsia" w:hAnsiTheme="minorEastAsia" w:eastAsiaTheme="minorEastAsia" w:cstheme="minorEastAsia"/>
                <w:b/>
                <w:bCs/>
                <w:color w:val="auto"/>
                <w:spacing w:val="-3"/>
                <w:sz w:val="24"/>
                <w:szCs w:val="24"/>
                <w:highlight w:val="none"/>
                <w:rtl w:val="0"/>
              </w:rPr>
              <w:t/>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Style w:val="17"/>
                <w:rFonts w:ascii="Segoe UI" w:hAnsi="Segoe UI" w:eastAsia="Segoe UI" w:cs="Segoe UI"/>
                <w:b/>
                <w:bCs/>
                <w:i w:val="0"/>
                <w:iCs w:val="0"/>
                <w:caps w:val="0"/>
                <w:color w:val="0F1115"/>
                <w:spacing w:val="0"/>
                <w:sz w:val="21"/>
                <w:szCs w:val="21"/>
                <w:shd w:val="clear" w:fill="FFFFFF"/>
              </w:rPr>
              <w:t>Deregistration</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default" w:asciiTheme="minorEastAsia" w:hAnsiTheme="minorEastAsia" w:eastAsiaTheme="minorEastAsia" w:cstheme="minorEastAsia"/>
                <w:b/>
                <w:bCs/>
                <w:color w:val="auto"/>
                <w:spacing w:val="-3"/>
                <w:sz w:val="24"/>
                <w:szCs w:val="24"/>
                <w:highlight w:val="none"/>
                <w:lang w:val="en-US" w:eastAsia="zh-CN"/>
              </w:rPr>
            </w:pPr>
            <w:r>
              <w:rPr>
                <w:rFonts w:hint="eastAsia" w:asciiTheme="minorEastAsia" w:hAnsiTheme="minorEastAsia" w:eastAsiaTheme="minorEastAsia" w:cstheme="minorEastAsia"/>
                <w:b/>
                <w:bCs/>
                <w:color w:val="auto"/>
                <w:spacing w:val="-3"/>
                <w:sz w:val="24"/>
                <w:szCs w:val="24"/>
                <w:highlight w:val="none"/>
                <w:rtl w:val="0"/>
              </w:rPr>
              <w:t/>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Style w:val="17"/>
                <w:rFonts w:ascii="Segoe UI" w:hAnsi="Segoe UI" w:eastAsia="Segoe UI" w:cs="Segoe UI"/>
                <w:b/>
                <w:bCs/>
                <w:i w:val="0"/>
                <w:iCs w:val="0"/>
                <w:caps w:val="0"/>
                <w:color w:val="0F1115"/>
                <w:spacing w:val="0"/>
                <w:sz w:val="21"/>
                <w:szCs w:val="21"/>
                <w:shd w:val="clear" w:fill="FFFFFF"/>
              </w:rPr>
              <w:t>Refund Policy</w:t>
            </w:r>
          </w:p>
        </w:tc>
      </w:tr>
      <w:tr>
        <w:tblPrEx>
          <w:tblLayout w:type="fixed"/>
          <w:tblCellMar>
            <w:top w:w="0" w:type="dxa"/>
            <w:left w:w="115" w:type="dxa"/>
            <w:bottom w:w="0" w:type="dxa"/>
            <w:right w:w="115" w:type="dxa"/>
          </w:tblCellMar>
        </w:tblPrEx>
        <w:trPr>
          <w:trHeight w:val="0" w:hRule="atLeast"/>
          <w:jc w:val="center"/>
        </w:trPr>
        <w:tc>
          <w:tcPr>
            <w:tcW w:w="2682"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Requested after official certificate issuance</w:t>
            </w:r>
          </w:p>
        </w:tc>
        <w:tc>
          <w:tcPr>
            <w:tcW w:w="3487" w:type="dxa"/>
            <w:tcBorders>
              <w:top w:val="single" w:color="000000" w:sz="4" w:space="0"/>
              <w:left w:val="single" w:color="000000" w:sz="4" w:space="0"/>
              <w:right w:val="single" w:color="000000" w:sz="4" w:space="0"/>
            </w:tcBorders>
            <w:shd w:val="clear" w:color="auto" w:fill="auto"/>
            <w:tcMar>
              <w:top w:w="0" w:type="dxa"/>
              <w:left w:w="115" w:type="dxa"/>
              <w:bottom w:w="0" w:type="dxa"/>
              <w:right w:w="115"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Regardless of whether the cooperation calendar year has expired</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Service fee is non-refundable, and a deregistration fee will be additionally charged based on the request</w:t>
            </w:r>
            <w:r>
              <w:rPr>
                <w:rFonts w:hint="default"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 </w:t>
            </w:r>
          </w:p>
        </w:tc>
      </w:tr>
      <w:tr>
        <w:tblPrEx>
          <w:tblLayout w:type="fixed"/>
          <w:tblCellMar>
            <w:top w:w="0" w:type="dxa"/>
            <w:left w:w="115" w:type="dxa"/>
            <w:bottom w:w="0" w:type="dxa"/>
            <w:right w:w="115" w:type="dxa"/>
          </w:tblCellMar>
        </w:tblPrEx>
        <w:trPr>
          <w:trHeight w:val="0" w:hRule="atLeast"/>
          <w:jc w:val="center"/>
        </w:trPr>
        <w:tc>
          <w:tcPr>
            <w:tcW w:w="6169" w:type="dxa"/>
            <w:gridSpan w:val="2"/>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b/>
                <w:bCs/>
                <w:color w:val="auto"/>
                <w:spacing w:val="-3"/>
                <w:sz w:val="24"/>
                <w:szCs w:val="24"/>
                <w:highlight w:val="none"/>
                <w:lang w:val="en-US" w:eastAsia="zh-CN"/>
              </w:rPr>
            </w:pPr>
            <w:r>
              <w:rPr>
                <w:rFonts w:hint="eastAsia" w:asciiTheme="minorEastAsia" w:hAnsiTheme="minorEastAsia" w:eastAsiaTheme="minorEastAsia" w:cstheme="minorEastAsia"/>
                <w:b/>
                <w:bCs/>
                <w:color w:val="auto"/>
                <w:spacing w:val="-3"/>
                <w:sz w:val="24"/>
                <w:szCs w:val="24"/>
                <w:highlight w:val="none"/>
                <w:rtl w:val="0"/>
              </w:rPr>
              <w:tab/>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Fonts w:hint="eastAsia" w:asciiTheme="minorEastAsia" w:hAnsiTheme="minorEastAsia" w:eastAsiaTheme="minorEastAsia" w:cstheme="minorEastAsia"/>
                <w:b/>
                <w:bCs/>
                <w:color w:val="auto"/>
                <w:spacing w:val="-3"/>
                <w:sz w:val="24"/>
                <w:szCs w:val="24"/>
                <w:highlight w:val="none"/>
                <w:rtl w:val="0"/>
              </w:rPr>
              <w:t/>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Style w:val="17"/>
                <w:rFonts w:ascii="Segoe UI" w:hAnsi="Segoe UI" w:eastAsia="Segoe UI" w:cs="Segoe UI"/>
                <w:b/>
                <w:bCs/>
                <w:i w:val="0"/>
                <w:iCs w:val="0"/>
                <w:caps w:val="0"/>
                <w:color w:val="0F1115"/>
                <w:spacing w:val="0"/>
                <w:sz w:val="21"/>
                <w:szCs w:val="21"/>
                <w:shd w:val="clear" w:fill="FFFFFF"/>
              </w:rPr>
              <w:t>Order Cancellation</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default" w:asciiTheme="minorEastAsia" w:hAnsiTheme="minorEastAsia" w:eastAsiaTheme="minorEastAsia" w:cstheme="minorEastAsia"/>
                <w:b/>
                <w:bCs/>
                <w:color w:val="auto"/>
                <w:spacing w:val="-3"/>
                <w:sz w:val="24"/>
                <w:szCs w:val="24"/>
                <w:highlight w:val="none"/>
                <w:lang w:val="en-US" w:eastAsia="zh-CN"/>
              </w:rPr>
            </w:pPr>
            <w:r>
              <w:rPr>
                <w:rFonts w:hint="eastAsia" w:asciiTheme="minorEastAsia" w:hAnsiTheme="minorEastAsia" w:eastAsiaTheme="minorEastAsia" w:cstheme="minorEastAsia"/>
                <w:b/>
                <w:bCs/>
                <w:color w:val="auto"/>
                <w:spacing w:val="-3"/>
                <w:sz w:val="24"/>
                <w:szCs w:val="24"/>
                <w:highlight w:val="none"/>
                <w:rtl w:val="0"/>
              </w:rPr>
              <w:t/>
            </w:r>
            <w:r>
              <w:rPr>
                <w:rFonts w:hint="eastAsia" w:asciiTheme="minorEastAsia" w:hAnsiTheme="minorEastAsia" w:eastAsiaTheme="minorEastAsia" w:cstheme="minorEastAsia"/>
                <w:b/>
                <w:bCs/>
                <w:color w:val="auto"/>
                <w:spacing w:val="-3"/>
                <w:sz w:val="24"/>
                <w:szCs w:val="24"/>
                <w:highlight w:val="none"/>
                <w:rtl w:val="0"/>
                <w:lang w:val="en-US" w:eastAsia="zh-CN"/>
              </w:rPr>
              <w:t xml:space="preserve">  </w:t>
            </w:r>
            <w:r>
              <w:rPr>
                <w:rStyle w:val="17"/>
                <w:rFonts w:ascii="Segoe UI" w:hAnsi="Segoe UI" w:eastAsia="Segoe UI" w:cs="Segoe UI"/>
                <w:b/>
                <w:bCs/>
                <w:i w:val="0"/>
                <w:iCs w:val="0"/>
                <w:caps w:val="0"/>
                <w:color w:val="0F1115"/>
                <w:spacing w:val="0"/>
                <w:sz w:val="21"/>
                <w:szCs w:val="21"/>
                <w:shd w:val="clear" w:fill="FFFFFF"/>
              </w:rPr>
              <w:t>Refund Policy</w:t>
            </w:r>
          </w:p>
        </w:tc>
      </w:tr>
      <w:tr>
        <w:tblPrEx>
          <w:tblLayout w:type="fixed"/>
          <w:tblCellMar>
            <w:top w:w="0" w:type="dxa"/>
            <w:left w:w="115" w:type="dxa"/>
            <w:bottom w:w="0" w:type="dxa"/>
            <w:right w:w="115" w:type="dxa"/>
          </w:tblCellMar>
        </w:tblPrEx>
        <w:trPr>
          <w:trHeight w:val="0" w:hRule="atLeast"/>
          <w:jc w:val="center"/>
        </w:trPr>
        <w:tc>
          <w:tcPr>
            <w:tcW w:w="2682"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Requested before official certificate issuance</w:t>
            </w:r>
          </w:p>
        </w:tc>
        <w:tc>
          <w:tcPr>
            <w:tcW w:w="3487"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rtl w:val="0"/>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 xml:space="preserve">Party B has already submitted the registration documents | </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color w:val="auto"/>
                <w:spacing w:val="-3"/>
                <w:sz w:val="21"/>
                <w:szCs w:val="21"/>
                <w:highlight w:val="none"/>
                <w:rtl w:val="0"/>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30% of the received service fee will be refunded</w:t>
            </w:r>
          </w:p>
        </w:tc>
      </w:tr>
      <w:tr>
        <w:tblPrEx>
          <w:tblLayout w:type="fixed"/>
          <w:tblCellMar>
            <w:top w:w="0" w:type="dxa"/>
            <w:left w:w="115" w:type="dxa"/>
            <w:bottom w:w="0" w:type="dxa"/>
            <w:right w:w="115" w:type="dxa"/>
          </w:tblCellMar>
        </w:tblPrEx>
        <w:trPr>
          <w:trHeight w:val="0" w:hRule="atLeast"/>
          <w:jc w:val="center"/>
        </w:trPr>
        <w:tc>
          <w:tcPr>
            <w:tcW w:w="2682"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pStyle w:val="28"/>
              <w:widowControl w:val="0"/>
              <w:snapToGrid w:val="0"/>
              <w:spacing w:before="73" w:line="420" w:lineRule="exact"/>
              <w:jc w:val="both"/>
              <w:rPr>
                <w:rFonts w:hint="eastAsia" w:asciiTheme="minorEastAsia" w:hAnsiTheme="minorEastAsia" w:eastAsiaTheme="minorEastAsia" w:cstheme="minorEastAsia"/>
                <w:color w:val="auto"/>
                <w:spacing w:val="-3"/>
                <w:sz w:val="21"/>
                <w:szCs w:val="21"/>
                <w:highlight w:val="none"/>
              </w:rPr>
            </w:pPr>
          </w:p>
        </w:tc>
        <w:tc>
          <w:tcPr>
            <w:tcW w:w="3487"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rtl w:val="0"/>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Party B has not yet submitted the registration documents</w:t>
            </w:r>
          </w:p>
        </w:tc>
        <w:tc>
          <w:tcPr>
            <w:tcW w:w="5019" w:type="dxa"/>
            <w:tcBorders>
              <w:top w:val="single" w:color="000000" w:sz="4" w:space="0"/>
              <w:left w:val="single" w:color="000000" w:sz="4" w:space="0"/>
              <w:bottom w:val="single" w:color="000000" w:sz="4" w:space="0"/>
              <w:right w:val="single" w:color="000000" w:sz="4" w:space="0"/>
            </w:tcBorders>
            <w:shd w:val="clear" w:color="auto" w:fill="auto"/>
            <w:tcMar>
              <w:top w:w="0" w:type="dxa"/>
              <w:left w:w="115" w:type="dxa"/>
              <w:bottom w:w="0" w:type="dxa"/>
              <w:right w:w="115" w:type="dxa"/>
            </w:tcMar>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3"/>
                <w:sz w:val="21"/>
                <w:szCs w:val="21"/>
                <w:highlight w:val="none"/>
                <w:rtl w:val="0"/>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70% of the received service fee will be refunded OR Party A may replace the registering entity</w:t>
            </w:r>
          </w:p>
        </w:tc>
      </w:tr>
    </w:tbl>
    <w:p>
      <w:pPr>
        <w:tabs>
          <w:tab w:val="left" w:pos="0"/>
        </w:tabs>
        <w:spacing w:line="340" w:lineRule="auto"/>
        <w:jc w:val="left"/>
        <w:rPr>
          <w:rFonts w:hint="eastAsia" w:asciiTheme="minorEastAsia" w:hAnsiTheme="minorEastAsia" w:eastAsiaTheme="minorEastAsia" w:cstheme="minorEastAsia"/>
          <w:color w:val="000000"/>
          <w:sz w:val="24"/>
          <w:szCs w:val="24"/>
          <w:shd w:val="clear" w:color="auto" w:fill="auto"/>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(2) Deregistration fees after certificate issuance: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Germany WEEE Deregistration: Authorization certificate deregistration fee + WEEE certificate deregistration fee will be incurred. The authorization certificate deregistration fee is 20 Euros. Deregistering only a brand or category: each WEEE certificate deregistration fee is 15 Euros.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 xml:space="preserve">Germany Battery Law Deregistration: Deregistration fee for each brand certificate is </w:t>
      </w:r>
      <w:r>
        <w:rPr>
          <w:rFonts w:hint="default" w:asciiTheme="minorHAnsi" w:hAnsiTheme="minorHAnsi" w:eastAsiaTheme="minorEastAsia" w:cstheme="minorBidi"/>
          <w:snapToGrid/>
          <w:kern w:val="2"/>
          <w:sz w:val="24"/>
          <w:szCs w:val="32"/>
          <w:rtl w:val="0"/>
          <w:lang w:eastAsia="zh-CN"/>
          <w:woUserID w:val="1"/>
        </w:rPr>
        <w:t>65</w:t>
      </w:r>
      <w:r>
        <w:rPr>
          <w:rFonts w:hint="eastAsia" w:asciiTheme="minorHAnsi" w:hAnsiTheme="minorHAnsi" w:eastAsiaTheme="minorEastAsia" w:cstheme="minorBidi"/>
          <w:snapToGrid/>
          <w:kern w:val="2"/>
          <w:sz w:val="24"/>
          <w:szCs w:val="32"/>
          <w:rtl w:val="0"/>
          <w:lang w:eastAsia="zh-CN"/>
        </w:rPr>
        <w:t xml:space="preserve"> Euros, additional brand certificate deregistration fee is </w:t>
      </w:r>
      <w:r>
        <w:rPr>
          <w:rFonts w:hint="default" w:asciiTheme="minorHAnsi" w:hAnsiTheme="minorHAnsi" w:eastAsiaTheme="minorEastAsia" w:cstheme="minorBidi"/>
          <w:snapToGrid/>
          <w:kern w:val="2"/>
          <w:sz w:val="24"/>
          <w:szCs w:val="32"/>
          <w:rtl w:val="0"/>
          <w:lang w:eastAsia="zh-CN"/>
          <w:woUserID w:val="1"/>
        </w:rPr>
        <w:t>18</w:t>
      </w:r>
      <w:r>
        <w:rPr>
          <w:rFonts w:hint="eastAsia" w:asciiTheme="minorHAnsi" w:hAnsiTheme="minorHAnsi" w:eastAsiaTheme="minorEastAsia" w:cstheme="minorBidi"/>
          <w:snapToGrid/>
          <w:kern w:val="2"/>
          <w:sz w:val="24"/>
          <w:szCs w:val="32"/>
          <w:rtl w:val="0"/>
          <w:lang w:eastAsia="zh-CN"/>
        </w:rPr>
        <w:t xml:space="preserve"> Euros.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Deregistration fees for other countries are detailed in the attached quotation list.</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Except for the terms expressly modified in this Supplementary Agreement, the remaining terms of the original agreement shall continue to be effective. This Supplementary Agreement has the same legal effect as the original agreement. This Agreement is made in duplicate, with Party A and Party B each holding one copy. This Agreement shall take effect from the date of sealing by both parties.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(This space is intentionally left blank. The following is the signature and seal area for both parties.)</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Party A: (Seal)</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Authorized Representative: (Signature)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default"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Date:</w:t>
      </w:r>
      <w:r>
        <w:rPr>
          <w:rFonts w:hint="eastAsia" w:asciiTheme="minorHAnsi" w:hAnsiTheme="minorHAnsi" w:eastAsiaTheme="minorEastAsia" w:cstheme="minorBidi"/>
          <w:snapToGrid/>
          <w:kern w:val="2"/>
          <w:sz w:val="24"/>
          <w:szCs w:val="32"/>
          <w:rtl w:val="0"/>
          <w:lang w:val="en-US" w:eastAsia="zh-CN"/>
        </w:rPr>
        <w:t xml:space="preserve">  </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Party B: (Seal)</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Authorized Representative: (Signature)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Date:</w:t>
      </w:r>
    </w:p>
    <w:p>
      <w:pPr>
        <w:tabs>
          <w:tab w:val="left" w:pos="0"/>
        </w:tabs>
        <w:spacing w:line="340" w:lineRule="auto"/>
        <w:jc w:val="left"/>
        <w:rPr>
          <w:rFonts w:hint="eastAsia" w:asciiTheme="minorEastAsia" w:hAnsiTheme="minorEastAsia" w:eastAsiaTheme="minorEastAsia" w:cstheme="minorEastAsia"/>
          <w:color w:val="000000"/>
          <w:sz w:val="24"/>
          <w:szCs w:val="24"/>
          <w:shd w:val="clear" w:color="auto" w:fill="auto"/>
          <w:rtl w:val="0"/>
          <w:lang w:eastAsia="zh-CN"/>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00" w:after="0" w:line="360" w:lineRule="auto"/>
        <w:ind w:right="709"/>
        <w:jc w:val="left"/>
        <w:textAlignment w:val="baseline"/>
        <w:rPr>
          <w:rFonts w:hint="eastAsia" w:asciiTheme="minorHAnsi" w:hAnsiTheme="minorHAnsi" w:eastAsiaTheme="minorEastAsia" w:cstheme="minorBidi"/>
          <w:b/>
          <w:bCs/>
          <w:snapToGrid/>
          <w:kern w:val="2"/>
          <w:sz w:val="24"/>
          <w:szCs w:val="32"/>
          <w:rtl w:val="0"/>
          <w:lang w:eastAsia="zh-CN"/>
        </w:rPr>
      </w:pPr>
      <w:r>
        <w:rPr>
          <w:rFonts w:hint="eastAsia" w:asciiTheme="minorEastAsia" w:hAnsiTheme="minorEastAsia" w:eastAsiaTheme="minorEastAsia" w:cstheme="minorEastAsia"/>
          <w:color w:val="000000"/>
          <w:sz w:val="24"/>
          <w:szCs w:val="24"/>
          <w:shd w:val="clear" w:fill="auto"/>
          <w:rtl w:val="0"/>
        </w:rPr>
        <w:t xml:space="preserve"> </w:t>
      </w:r>
      <w:r>
        <w:rPr>
          <w:rFonts w:hint="eastAsia" w:asciiTheme="minorHAnsi" w:hAnsiTheme="minorHAnsi" w:eastAsiaTheme="minorEastAsia" w:cstheme="minorBidi"/>
          <w:b/>
          <w:bCs/>
          <w:snapToGrid/>
          <w:kern w:val="2"/>
          <w:sz w:val="24"/>
          <w:szCs w:val="32"/>
          <w:rtl w:val="0"/>
          <w:lang w:eastAsia="zh-CN"/>
        </w:rPr>
        <w:t>Annex I: Germany EPR Quotation</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Germany WEEE (Registration -- 1 category, 1 brand + 1 year declaration, including official fees and guarantee fee for specified quantity, excluding actual recycling fees) The 2026 renewal package price is 500 Euros; for each additional brand, Party A needs to pay an additional 70 Euros; for each additional category, Party A needs to pay an additional 160 Euros.</w:t>
      </w:r>
    </w:p>
    <w:p>
      <w:pPr>
        <w:numPr>
          <w:ilvl w:val="0"/>
          <w:numId w:val="0"/>
        </w:numPr>
        <w:tabs>
          <w:tab w:val="left" w:pos="219"/>
        </w:tabs>
        <w:spacing w:line="340" w:lineRule="auto"/>
        <w:jc w:val="left"/>
        <w:rPr>
          <w:rFonts w:hint="eastAsia" w:asciiTheme="minorEastAsia" w:hAnsiTheme="minorEastAsia" w:eastAsiaTheme="minorEastAsia" w:cstheme="minorEastAsia"/>
          <w:color w:val="auto"/>
          <w:spacing w:val="-3"/>
          <w:sz w:val="24"/>
          <w:szCs w:val="24"/>
          <w:lang w:val="en-US" w:eastAsia="zh-CN"/>
        </w:rPr>
      </w:pPr>
    </w:p>
    <w:tbl>
      <w:tblPr>
        <w:tblStyle w:val="18"/>
        <w:tblpPr w:leftFromText="180" w:rightFromText="180" w:vertAnchor="text" w:horzAnchor="page" w:tblpX="789" w:tblpY="-20"/>
        <w:tblOverlap w:val="never"/>
        <w:tblW w:w="1069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89"/>
        <w:gridCol w:w="4403"/>
        <w:gridCol w:w="1728"/>
        <w:gridCol w:w="247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86" w:hRule="atLeast"/>
        </w:trPr>
        <w:tc>
          <w:tcPr>
            <w:tcW w:w="6492" w:type="dxa"/>
            <w:gridSpan w:val="2"/>
            <w:vAlign w:val="top"/>
          </w:tcPr>
          <w:p>
            <w:pPr>
              <w:pStyle w:val="28"/>
              <w:spacing w:before="59" w:line="420" w:lineRule="exact"/>
              <w:ind w:left="1866"/>
              <w:jc w:val="both"/>
              <w:rPr>
                <w:rFonts w:hint="default" w:asciiTheme="minorEastAsia" w:hAnsiTheme="minorEastAsia" w:eastAsiaTheme="minorEastAsia" w:cstheme="minorEastAsia"/>
                <w:b/>
                <w:bCs/>
                <w:color w:val="auto"/>
                <w:sz w:val="24"/>
                <w:szCs w:val="24"/>
                <w:lang w:val="en-US" w:eastAsia="zh-CN"/>
              </w:rPr>
            </w:pPr>
            <w:r>
              <w:rPr>
                <w:rStyle w:val="17"/>
                <w:rFonts w:ascii="Segoe UI" w:hAnsi="Segoe UI" w:eastAsia="Segoe UI" w:cs="Segoe UI"/>
                <w:b/>
                <w:bCs/>
                <w:i w:val="0"/>
                <w:iCs w:val="0"/>
                <w:caps w:val="0"/>
                <w:color w:val="0F1115"/>
                <w:spacing w:val="0"/>
                <w:sz w:val="19"/>
                <w:szCs w:val="19"/>
                <w:shd w:val="clear" w:fill="FFFFFF"/>
              </w:rPr>
              <w:t>Service Item</w:t>
            </w:r>
          </w:p>
        </w:tc>
        <w:tc>
          <w:tcPr>
            <w:tcW w:w="1728" w:type="dxa"/>
            <w:vAlign w:val="top"/>
          </w:tcPr>
          <w:p>
            <w:pPr>
              <w:pStyle w:val="28"/>
              <w:spacing w:before="59" w:line="420" w:lineRule="exact"/>
              <w:ind w:firstLine="380" w:firstLineChars="200"/>
              <w:jc w:val="both"/>
              <w:rPr>
                <w:rFonts w:hint="eastAsia" w:asciiTheme="minorEastAsia" w:hAnsiTheme="minorEastAsia" w:eastAsiaTheme="minorEastAsia" w:cstheme="minorEastAsia"/>
                <w:b/>
                <w:bCs/>
                <w:color w:val="auto"/>
                <w:spacing w:val="-5"/>
                <w:sz w:val="24"/>
                <w:szCs w:val="24"/>
              </w:rPr>
            </w:pPr>
            <w:r>
              <w:rPr>
                <w:rStyle w:val="17"/>
                <w:rFonts w:ascii="Segoe UI" w:hAnsi="Segoe UI" w:eastAsia="Segoe UI" w:cs="Segoe UI"/>
                <w:b/>
                <w:bCs/>
                <w:i w:val="0"/>
                <w:iCs w:val="0"/>
                <w:caps w:val="0"/>
                <w:color w:val="0F1115"/>
                <w:spacing w:val="0"/>
                <w:sz w:val="19"/>
                <w:szCs w:val="19"/>
                <w:shd w:val="clear" w:fill="FFFFFF"/>
              </w:rPr>
              <w:t>Fee (EUR)</w:t>
            </w:r>
          </w:p>
        </w:tc>
        <w:tc>
          <w:tcPr>
            <w:tcW w:w="2472" w:type="dxa"/>
            <w:vAlign w:val="top"/>
          </w:tcPr>
          <w:p>
            <w:pPr>
              <w:pStyle w:val="28"/>
              <w:spacing w:before="59" w:line="420" w:lineRule="exact"/>
              <w:ind w:firstLine="380" w:firstLineChars="200"/>
              <w:jc w:val="both"/>
              <w:rPr>
                <w:rFonts w:hint="default" w:asciiTheme="minorEastAsia" w:hAnsiTheme="minorEastAsia" w:eastAsiaTheme="minorEastAsia" w:cstheme="minorEastAsia"/>
                <w:b/>
                <w:bCs/>
                <w:color w:val="auto"/>
                <w:sz w:val="24"/>
                <w:szCs w:val="24"/>
                <w:lang w:val="en-US" w:eastAsia="zh-CN"/>
              </w:rPr>
            </w:pPr>
            <w:r>
              <w:rPr>
                <w:rStyle w:val="17"/>
                <w:rFonts w:ascii="Segoe UI" w:hAnsi="Segoe UI" w:eastAsia="Segoe UI" w:cs="Segoe UI"/>
                <w:b/>
                <w:bCs/>
                <w:i w:val="0"/>
                <w:iCs w:val="0"/>
                <w:caps w:val="0"/>
                <w:color w:val="0F1115"/>
                <w:spacing w:val="0"/>
                <w:sz w:val="19"/>
                <w:szCs w:val="19"/>
                <w:shd w:val="clear" w:fill="FFFFFF"/>
              </w:rPr>
              <w:t>Service Term</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01" w:hRule="atLeast"/>
        </w:trPr>
        <w:tc>
          <w:tcPr>
            <w:tcW w:w="2089" w:type="dxa"/>
            <w:vMerge w:val="restart"/>
            <w:vAlign w:val="top"/>
          </w:tcPr>
          <w:p>
            <w:pPr>
              <w:pStyle w:val="28"/>
              <w:spacing w:before="78" w:line="420" w:lineRule="exact"/>
              <w:rPr>
                <w:rFonts w:hint="eastAsia" w:asciiTheme="minorEastAsia" w:hAnsiTheme="minorEastAsia" w:eastAsiaTheme="minorEastAsia" w:cstheme="minorEastAsia"/>
                <w:color w:val="auto"/>
                <w:spacing w:val="-1"/>
                <w:sz w:val="21"/>
                <w:szCs w:val="21"/>
              </w:rPr>
            </w:pP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Germany WEEE</w:t>
            </w:r>
          </w:p>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color w:val="auto"/>
                <w:spacing w:val="-1"/>
                <w:sz w:val="21"/>
                <w:szCs w:val="21"/>
                <w:lang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 xml:space="preserve"> (2026 Renewal)</w:t>
            </w:r>
          </w:p>
        </w:tc>
        <w:tc>
          <w:tcPr>
            <w:tcW w:w="4403" w:type="dxa"/>
            <w:vAlign w:val="top"/>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eastAsia" w:asciiTheme="minorEastAsia" w:hAnsiTheme="minorEastAsia" w:eastAsiaTheme="minorEastAsia" w:cstheme="minorEastAsia"/>
                <w:color w:val="auto"/>
                <w:spacing w:val="-1"/>
                <w:sz w:val="21"/>
                <w:szCs w:val="21"/>
                <w:lang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Registration -- 1 category, 1 brand + 1 year declaration, including official fees and guarantee fee for specified quantity, excluding actual recycling fees.</w:t>
            </w:r>
          </w:p>
        </w:tc>
        <w:tc>
          <w:tcPr>
            <w:tcW w:w="1728" w:type="dxa"/>
            <w:vAlign w:val="center"/>
          </w:tcPr>
          <w:p>
            <w:pPr>
              <w:pStyle w:val="28"/>
              <w:spacing w:before="65" w:line="420" w:lineRule="exact"/>
              <w:ind w:left="0"/>
              <w:jc w:val="center"/>
              <w:rPr>
                <w:rFonts w:hint="default" w:asciiTheme="minorEastAsia" w:hAnsiTheme="minorEastAsia" w:eastAsiaTheme="minorEastAsia" w:cstheme="minorEastAsia"/>
                <w:snapToGrid w:val="0"/>
                <w:color w:val="auto"/>
                <w:spacing w:val="-2"/>
                <w:kern w:val="0"/>
                <w:sz w:val="21"/>
                <w:szCs w:val="21"/>
                <w:lang w:val="en-US" w:eastAsia="en-US" w:bidi="ar-SA"/>
              </w:rPr>
            </w:pPr>
            <w:r>
              <w:rPr>
                <w:rFonts w:hint="eastAsia" w:asciiTheme="minorEastAsia" w:hAnsiTheme="minorEastAsia" w:eastAsiaTheme="minorEastAsia" w:cstheme="minorEastAsia"/>
                <w:snapToGrid w:val="0"/>
                <w:color w:val="auto"/>
                <w:spacing w:val="-2"/>
                <w:kern w:val="0"/>
                <w:sz w:val="21"/>
                <w:szCs w:val="21"/>
                <w:lang w:val="en-US" w:eastAsia="zh-CN" w:bidi="ar-SA"/>
              </w:rPr>
              <w:t>500</w:t>
            </w:r>
          </w:p>
        </w:tc>
        <w:tc>
          <w:tcPr>
            <w:tcW w:w="247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firstLine="240" w:firstLineChars="100"/>
              <w:jc w:val="both"/>
              <w:textAlignment w:val="baseline"/>
              <w:rPr>
                <w:rFonts w:hint="default" w:asciiTheme="minorEastAsia" w:hAnsiTheme="minorEastAsia" w:eastAsiaTheme="minorEastAsia" w:cstheme="minorEastAsia"/>
                <w:color w:val="auto"/>
                <w:spacing w:val="-5"/>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Per Calendar Year</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34" w:hRule="atLeast"/>
        </w:trPr>
        <w:tc>
          <w:tcPr>
            <w:tcW w:w="2089" w:type="dxa"/>
            <w:vMerge w:val="continue"/>
            <w:vAlign w:val="top"/>
          </w:tcPr>
          <w:p>
            <w:pPr>
              <w:spacing w:line="420" w:lineRule="exact"/>
              <w:rPr>
                <w:rFonts w:hint="eastAsia" w:asciiTheme="minorEastAsia" w:hAnsiTheme="minorEastAsia" w:eastAsiaTheme="minorEastAsia" w:cstheme="minorEastAsia"/>
                <w:color w:val="auto"/>
                <w:sz w:val="21"/>
                <w:szCs w:val="21"/>
              </w:rPr>
            </w:pPr>
          </w:p>
        </w:tc>
        <w:tc>
          <w:tcPr>
            <w:tcW w:w="4403" w:type="dxa"/>
            <w:vAlign w:val="top"/>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7"/>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Add one category</w:t>
            </w:r>
          </w:p>
        </w:tc>
        <w:tc>
          <w:tcPr>
            <w:tcW w:w="1728" w:type="dxa"/>
            <w:vAlign w:val="center"/>
          </w:tcPr>
          <w:p>
            <w:pPr>
              <w:pStyle w:val="28"/>
              <w:spacing w:before="107" w:line="420" w:lineRule="exact"/>
              <w:ind w:left="0"/>
              <w:jc w:val="center"/>
              <w:rPr>
                <w:rFonts w:hint="eastAsia" w:asciiTheme="minorEastAsia" w:hAnsiTheme="minorEastAsia" w:eastAsiaTheme="minorEastAsia" w:cstheme="minorEastAsia"/>
                <w:snapToGrid w:val="0"/>
                <w:color w:val="auto"/>
                <w:spacing w:val="-2"/>
                <w:kern w:val="0"/>
                <w:sz w:val="21"/>
                <w:szCs w:val="21"/>
                <w:lang w:val="en-US" w:eastAsia="en-US" w:bidi="ar-SA"/>
              </w:rPr>
            </w:pPr>
            <w:r>
              <w:rPr>
                <w:rFonts w:hint="eastAsia" w:asciiTheme="minorEastAsia" w:hAnsiTheme="minorEastAsia" w:eastAsiaTheme="minorEastAsia" w:cstheme="minorEastAsia"/>
                <w:snapToGrid w:val="0"/>
                <w:color w:val="auto"/>
                <w:spacing w:val="-2"/>
                <w:kern w:val="0"/>
                <w:sz w:val="21"/>
                <w:szCs w:val="21"/>
                <w:lang w:val="en-US" w:eastAsia="en-US" w:bidi="ar-SA"/>
              </w:rPr>
              <w:t>16</w:t>
            </w:r>
            <w:r>
              <w:rPr>
                <w:rFonts w:hint="eastAsia" w:asciiTheme="minorEastAsia" w:hAnsiTheme="minorEastAsia" w:eastAsiaTheme="minorEastAsia" w:cstheme="minorEastAsia"/>
                <w:snapToGrid w:val="0"/>
                <w:color w:val="auto"/>
                <w:spacing w:val="-2"/>
                <w:kern w:val="0"/>
                <w:sz w:val="21"/>
                <w:szCs w:val="21"/>
                <w:lang w:val="en-US" w:eastAsia="zh-CN" w:bidi="ar-SA"/>
              </w:rPr>
              <w:t>0</w:t>
            </w:r>
          </w:p>
        </w:tc>
        <w:tc>
          <w:tcPr>
            <w:tcW w:w="247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firstLine="240" w:firstLineChars="100"/>
              <w:jc w:val="both"/>
              <w:textAlignment w:val="baseline"/>
              <w:rPr>
                <w:rFonts w:hint="eastAsia" w:asciiTheme="minorEastAsia" w:hAnsiTheme="minorEastAsia" w:eastAsiaTheme="minorEastAsia" w:cstheme="minorEastAsia"/>
                <w:color w:val="auto"/>
                <w:spacing w:val="-5"/>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Per Calendar Year</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45" w:hRule="atLeast"/>
        </w:trPr>
        <w:tc>
          <w:tcPr>
            <w:tcW w:w="2089" w:type="dxa"/>
            <w:vMerge w:val="continue"/>
            <w:vAlign w:val="top"/>
          </w:tcPr>
          <w:p>
            <w:pPr>
              <w:spacing w:line="420" w:lineRule="exact"/>
              <w:rPr>
                <w:rFonts w:hint="eastAsia" w:asciiTheme="minorEastAsia" w:hAnsiTheme="minorEastAsia" w:eastAsiaTheme="minorEastAsia" w:cstheme="minorEastAsia"/>
                <w:color w:val="auto"/>
                <w:sz w:val="21"/>
                <w:szCs w:val="21"/>
              </w:rPr>
            </w:pPr>
          </w:p>
        </w:tc>
        <w:tc>
          <w:tcPr>
            <w:tcW w:w="4403" w:type="dxa"/>
            <w:vAlign w:val="top"/>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jc w:val="both"/>
              <w:textAlignment w:val="baseline"/>
              <w:rPr>
                <w:rFonts w:hint="default" w:asciiTheme="minorEastAsia" w:hAnsiTheme="minorEastAsia" w:eastAsiaTheme="minorEastAsia" w:cstheme="minorEastAsia"/>
                <w:color w:val="auto"/>
                <w:spacing w:val="-7"/>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Add one brand</w:t>
            </w:r>
          </w:p>
        </w:tc>
        <w:tc>
          <w:tcPr>
            <w:tcW w:w="1728" w:type="dxa"/>
            <w:vAlign w:val="center"/>
          </w:tcPr>
          <w:p>
            <w:pPr>
              <w:pStyle w:val="28"/>
              <w:spacing w:before="109" w:line="420" w:lineRule="exact"/>
              <w:ind w:left="0"/>
              <w:jc w:val="center"/>
              <w:rPr>
                <w:rFonts w:hint="eastAsia" w:asciiTheme="minorEastAsia" w:hAnsiTheme="minorEastAsia" w:eastAsiaTheme="minorEastAsia" w:cstheme="minorEastAsia"/>
                <w:snapToGrid w:val="0"/>
                <w:color w:val="auto"/>
                <w:spacing w:val="-2"/>
                <w:kern w:val="0"/>
                <w:sz w:val="21"/>
                <w:szCs w:val="21"/>
                <w:lang w:val="en-US" w:eastAsia="en-US" w:bidi="ar-SA"/>
              </w:rPr>
            </w:pPr>
            <w:r>
              <w:rPr>
                <w:rFonts w:hint="eastAsia" w:asciiTheme="minorEastAsia" w:hAnsiTheme="minorEastAsia" w:eastAsiaTheme="minorEastAsia" w:cstheme="minorEastAsia"/>
                <w:snapToGrid w:val="0"/>
                <w:color w:val="auto"/>
                <w:spacing w:val="-2"/>
                <w:kern w:val="0"/>
                <w:sz w:val="21"/>
                <w:szCs w:val="21"/>
                <w:lang w:val="en-US" w:eastAsia="en-US" w:bidi="ar-SA"/>
              </w:rPr>
              <w:t>70</w:t>
            </w:r>
          </w:p>
        </w:tc>
        <w:tc>
          <w:tcPr>
            <w:tcW w:w="2472" w:type="dxa"/>
            <w:vAlign w:val="center"/>
          </w:tcPr>
          <w:p>
            <w:pPr>
              <w:keepNext w:val="0"/>
              <w:keepLines w:val="0"/>
              <w:pageBreakBefore w:val="0"/>
              <w:widowControl/>
              <w:kinsoku w:val="0"/>
              <w:wordWrap/>
              <w:overflowPunct/>
              <w:topLinePunct w:val="0"/>
              <w:autoSpaceDE w:val="0"/>
              <w:autoSpaceDN w:val="0"/>
              <w:bidi w:val="0"/>
              <w:adjustRightInd w:val="0"/>
              <w:snapToGrid w:val="0"/>
              <w:spacing w:before="65" w:after="0" w:line="300" w:lineRule="auto"/>
              <w:ind w:right="70" w:firstLine="240" w:firstLineChars="100"/>
              <w:jc w:val="both"/>
              <w:textAlignment w:val="baseline"/>
              <w:rPr>
                <w:rFonts w:hint="eastAsia" w:asciiTheme="minorEastAsia" w:hAnsiTheme="minorEastAsia" w:eastAsiaTheme="minorEastAsia" w:cstheme="minorEastAsia"/>
                <w:color w:val="auto"/>
                <w:spacing w:val="-5"/>
                <w:sz w:val="21"/>
                <w:szCs w:val="21"/>
                <w:lang w:val="en-US" w:eastAsia="zh-CN"/>
              </w:rPr>
            </w:pPr>
            <w:r>
              <w:rPr>
                <w:rFonts w:hint="eastAsia" w:ascii="Arial" w:hAnsi="Arial" w:eastAsia="Arial" w:cs="Arial"/>
                <w:b w:val="0"/>
                <w:bCs w:val="0"/>
                <w:i w:val="0"/>
                <w:iCs w:val="0"/>
                <w:smallCaps w:val="0"/>
                <w:strike w:val="0"/>
                <w:snapToGrid/>
                <w:color w:val="000000"/>
                <w:kern w:val="2"/>
                <w:sz w:val="24"/>
                <w:szCs w:val="24"/>
                <w:highlight w:val="none"/>
                <w:u w:val="none"/>
                <w:shd w:val="clear" w:color="auto" w:fill="auto"/>
                <w:vertAlign w:val="baseline"/>
                <w:rtl w:val="0"/>
                <w:lang w:eastAsia="zh-CN"/>
              </w:rPr>
              <w:t>Per Calendar Year</w:t>
            </w:r>
          </w:p>
        </w:tc>
      </w:tr>
    </w:tbl>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r>
        <w:rPr>
          <w:rFonts w:hint="eastAsia" w:asciiTheme="minorHAnsi" w:hAnsiTheme="minorHAnsi" w:eastAsiaTheme="minorEastAsia" w:cstheme="minorBidi"/>
          <w:snapToGrid/>
          <w:color w:val="FF0000"/>
          <w:kern w:val="2"/>
          <w:sz w:val="24"/>
          <w:szCs w:val="32"/>
          <w:rtl w:val="0"/>
          <w:lang w:eastAsia="zh-CN"/>
        </w:rPr>
        <w:t>(The fees for services and registrations under this Contract are determined based on the official fee regulations for 2026 issued by the German legislative body. Should the aforementioned fee regulations be amended or new fees be introduced, Party B shall have the right to adjust the prices accordingly, with the final amount subject to the officially effective regulations at that time. Party A confirms and accepts this price adjustment mechanism.)</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color w:val="FF0000"/>
          <w:kern w:val="2"/>
          <w:sz w:val="24"/>
          <w:szCs w:val="32"/>
          <w:rtl w:val="0"/>
          <w:lang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b/>
          <w:bCs/>
          <w:snapToGrid/>
          <w:kern w:val="2"/>
          <w:sz w:val="24"/>
          <w:szCs w:val="32"/>
          <w:rtl w:val="0"/>
          <w:lang w:eastAsia="zh-CN"/>
        </w:rPr>
      </w:pPr>
      <w:r>
        <w:rPr>
          <w:rFonts w:hint="eastAsia" w:asciiTheme="minorHAnsi" w:hAnsiTheme="minorHAnsi" w:eastAsiaTheme="minorEastAsia" w:cstheme="minorBidi"/>
          <w:b/>
          <w:bCs/>
          <w:snapToGrid/>
          <w:kern w:val="2"/>
          <w:sz w:val="24"/>
          <w:szCs w:val="32"/>
          <w:rtl w:val="0"/>
          <w:lang w:eastAsia="zh-CN"/>
        </w:rPr>
        <w:t>Guaranteed Quantities Included in Germany WEEE Package:</w:t>
      </w:r>
    </w:p>
    <w:tbl>
      <w:tblPr>
        <w:tblStyle w:val="18"/>
        <w:tblpPr w:leftFromText="180" w:rightFromText="180" w:vertAnchor="text" w:horzAnchor="page" w:tblpX="1338" w:tblpY="350"/>
        <w:tblOverlap w:val="never"/>
        <w:tblW w:w="9756"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84"/>
        <w:gridCol w:w="307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6" w:hRule="atLeast"/>
        </w:trPr>
        <w:tc>
          <w:tcPr>
            <w:tcW w:w="6684" w:type="dxa"/>
            <w:vAlign w:val="top"/>
          </w:tcPr>
          <w:p>
            <w:pPr>
              <w:pStyle w:val="28"/>
              <w:spacing w:before="74" w:line="420" w:lineRule="exact"/>
              <w:jc w:val="center"/>
              <w:rPr>
                <w:rFonts w:hint="default" w:eastAsia="宋体"/>
                <w:b/>
                <w:bCs/>
                <w:color w:val="auto"/>
                <w:sz w:val="21"/>
                <w:szCs w:val="21"/>
                <w:lang w:val="en-US" w:eastAsia="zh-CN"/>
              </w:rPr>
            </w:pPr>
            <w:r>
              <w:rPr>
                <w:rStyle w:val="17"/>
                <w:rFonts w:hint="default" w:ascii="Segoe UI" w:hAnsi="Segoe UI" w:eastAsia="Segoe UI" w:cs="Segoe UI"/>
                <w:b/>
                <w:bCs/>
                <w:i w:val="0"/>
                <w:iCs w:val="0"/>
                <w:caps w:val="0"/>
                <w:color w:val="0F1115"/>
                <w:spacing w:val="0"/>
                <w:sz w:val="19"/>
                <w:szCs w:val="19"/>
                <w:shd w:val="clear" w:fill="FFFFFF"/>
              </w:rPr>
              <w:t>Category</w:t>
            </w:r>
          </w:p>
        </w:tc>
        <w:tc>
          <w:tcPr>
            <w:tcW w:w="3072" w:type="dxa"/>
            <w:vAlign w:val="top"/>
          </w:tcPr>
          <w:p>
            <w:pPr>
              <w:pStyle w:val="28"/>
              <w:spacing w:before="73" w:line="420" w:lineRule="exact"/>
              <w:jc w:val="center"/>
              <w:rPr>
                <w:rFonts w:hint="default"/>
                <w:b/>
                <w:bCs/>
                <w:color w:val="auto"/>
                <w:sz w:val="21"/>
                <w:szCs w:val="21"/>
                <w:lang w:val="en-US" w:eastAsia="zh-CN"/>
              </w:rPr>
            </w:pPr>
            <w:r>
              <w:rPr>
                <w:rStyle w:val="17"/>
                <w:rFonts w:ascii="Segoe UI" w:hAnsi="Segoe UI" w:eastAsia="Segoe UI" w:cs="Segoe UI"/>
                <w:b/>
                <w:bCs/>
                <w:i w:val="0"/>
                <w:iCs w:val="0"/>
                <w:caps w:val="0"/>
                <w:color w:val="0F1115"/>
                <w:spacing w:val="0"/>
                <w:sz w:val="19"/>
                <w:szCs w:val="19"/>
                <w:shd w:val="clear" w:fill="FFFFFF"/>
              </w:rPr>
              <w:t>Guaranteed Quantity in Package</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6" w:hRule="atLeast"/>
        </w:trPr>
        <w:tc>
          <w:tcPr>
            <w:tcW w:w="6684" w:type="dxa"/>
            <w:shd w:val="clear" w:color="auto" w:fill="auto"/>
            <w:vAlign w:val="top"/>
          </w:tcPr>
          <w:p>
            <w:pPr>
              <w:widowControl w:val="0"/>
              <w:kinsoku/>
              <w:autoSpaceDE/>
              <w:autoSpaceDN/>
              <w:adjustRightInd/>
              <w:snapToGrid/>
              <w:spacing w:line="240" w:lineRule="auto"/>
              <w:jc w:val="both"/>
              <w:textAlignment w:val="auto"/>
              <w:rPr>
                <w:rFonts w:hint="default"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Category 1: Heat Exchangers</w:t>
            </w:r>
          </w:p>
        </w:tc>
        <w:tc>
          <w:tcPr>
            <w:tcW w:w="3072" w:type="dxa"/>
            <w:shd w:val="clear" w:color="auto" w:fill="auto"/>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Up to 1 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3"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2: Screens with surface area &gt; 100 cm²</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不超过 1 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28"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3: Lamps</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Up to 500 KG</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4"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4: Private Household Appliances with any side &gt;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Up to 10 tons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4: Large PV with any side &gt;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Up to 5 tons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Category 5: Private Household Appliances with all sides ≤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Up to 10 tons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6"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5: Small PV with all sides ≤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Up to 5 tons</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1" w:hRule="atLeast"/>
        </w:trPr>
        <w:tc>
          <w:tcPr>
            <w:tcW w:w="6684"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Category 6: IT Private Household Appliances with all sides ≤ 50cm</w:t>
            </w:r>
          </w:p>
        </w:tc>
        <w:tc>
          <w:tcPr>
            <w:tcW w:w="3072"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eastAsia="zh-CN"/>
              </w:rPr>
              <w:t>Up to 10 tons</w:t>
            </w:r>
          </w:p>
        </w:tc>
      </w:tr>
    </w:tbl>
    <w:p>
      <w:pPr>
        <w:pStyle w:val="8"/>
        <w:spacing w:before="130" w:line="420" w:lineRule="exact"/>
        <w:rPr>
          <w:color w:val="auto"/>
          <w:spacing w:val="9"/>
          <w:sz w:val="24"/>
          <w:szCs w:val="24"/>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In addition to the basic package above, if a customer purchases additional guarantee coverage mid-term outside the package, we will charge extra fees according to the following standards, plus a handling fee of 30 Euros per purchase:</w:t>
      </w: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bookmarkStart w:id="0" w:name="_GoBack"/>
      <w:bookmarkEnd w:id="0"/>
    </w:p>
    <w:tbl>
      <w:tblPr>
        <w:tblStyle w:val="18"/>
        <w:tblpPr w:leftFromText="180" w:rightFromText="180" w:vertAnchor="text" w:horzAnchor="page" w:tblpX="1194" w:tblpY="115"/>
        <w:tblOverlap w:val="never"/>
        <w:tblW w:w="990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28"/>
        <w:gridCol w:w="337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pStyle w:val="28"/>
              <w:spacing w:before="73" w:line="420" w:lineRule="exact"/>
              <w:jc w:val="center"/>
              <w:rPr>
                <w:rFonts w:hint="default" w:asciiTheme="minorEastAsia" w:hAnsiTheme="minorEastAsia" w:eastAsiaTheme="minorEastAsia" w:cstheme="minorEastAsia"/>
                <w:b/>
                <w:bCs/>
                <w:color w:val="auto"/>
                <w:sz w:val="21"/>
                <w:szCs w:val="21"/>
                <w:lang w:val="en-US" w:eastAsia="zh-CN"/>
              </w:rPr>
            </w:pPr>
            <w:r>
              <w:rPr>
                <w:rStyle w:val="17"/>
                <w:rFonts w:ascii="Segoe UI" w:hAnsi="Segoe UI" w:eastAsia="Segoe UI" w:cs="Segoe UI"/>
                <w:b/>
                <w:bCs/>
                <w:i w:val="0"/>
                <w:iCs w:val="0"/>
                <w:caps w:val="0"/>
                <w:color w:val="0F1115"/>
                <w:spacing w:val="0"/>
                <w:sz w:val="19"/>
                <w:szCs w:val="19"/>
                <w:shd w:val="clear" w:fill="FFFFFF"/>
              </w:rPr>
              <w:t>Category</w:t>
            </w:r>
          </w:p>
        </w:tc>
        <w:tc>
          <w:tcPr>
            <w:tcW w:w="3372" w:type="dxa"/>
            <w:vAlign w:val="top"/>
          </w:tcPr>
          <w:p>
            <w:pPr>
              <w:pStyle w:val="28"/>
              <w:spacing w:before="73" w:line="420" w:lineRule="exact"/>
              <w:jc w:val="center"/>
              <w:rPr>
                <w:rFonts w:hint="default" w:asciiTheme="minorEastAsia" w:hAnsiTheme="minorEastAsia" w:eastAsiaTheme="minorEastAsia" w:cstheme="minorEastAsia"/>
                <w:b/>
                <w:bCs/>
                <w:color w:val="auto"/>
                <w:spacing w:val="-5"/>
                <w:sz w:val="21"/>
                <w:szCs w:val="21"/>
                <w:lang w:val="en-US" w:eastAsia="zh-CN"/>
              </w:rPr>
            </w:pPr>
            <w:r>
              <w:rPr>
                <w:rStyle w:val="17"/>
                <w:rFonts w:ascii="Segoe UI" w:hAnsi="Segoe UI" w:eastAsia="Segoe UI" w:cs="Segoe UI"/>
                <w:b/>
                <w:bCs/>
                <w:i w:val="0"/>
                <w:iCs w:val="0"/>
                <w:caps w:val="0"/>
                <w:color w:val="0F1115"/>
                <w:spacing w:val="0"/>
                <w:sz w:val="19"/>
                <w:szCs w:val="19"/>
                <w:shd w:val="clear" w:fill="FFFFFF"/>
              </w:rPr>
              <w:t>Extra Guarantee Purchase Price</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shd w:val="clear" w:color="auto" w:fill="auto"/>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en-US"/>
              </w:rPr>
            </w:pP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Category 1: Heat Exchangers</w:t>
            </w:r>
          </w:p>
        </w:tc>
        <w:tc>
          <w:tcPr>
            <w:tcW w:w="3372" w:type="dxa"/>
            <w:shd w:val="clear" w:color="auto" w:fill="auto"/>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60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7"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2: Screens with surface area &gt; 100 cm²</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60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3: Lamps</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60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4: Private Household Appliances with any side &gt;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4: Large PV with any side &gt;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18</w:t>
            </w:r>
            <w:r>
              <w:rPr>
                <w:rFonts w:hint="eastAsia" w:asciiTheme="minorHAnsi" w:hAnsiTheme="minorHAnsi" w:eastAsiaTheme="minorEastAsia" w:cstheme="minorBidi"/>
                <w:snapToGrid/>
                <w:kern w:val="2"/>
                <w:sz w:val="24"/>
                <w:szCs w:val="32"/>
                <w:rtl w:val="0"/>
                <w:lang w:eastAsia="zh-CN"/>
              </w:rPr>
              <w:t xml:space="preserve">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42"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5: Private Household Appliances with all sides ≤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95"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5: Small PV with all sides ≤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val="en-US" w:eastAsia="zh-CN"/>
              </w:rPr>
              <w:t>18</w:t>
            </w:r>
            <w:r>
              <w:rPr>
                <w:rFonts w:hint="eastAsia" w:asciiTheme="minorHAnsi" w:hAnsiTheme="minorHAnsi" w:eastAsiaTheme="minorEastAsia" w:cstheme="minorBidi"/>
                <w:snapToGrid/>
                <w:kern w:val="2"/>
                <w:sz w:val="24"/>
                <w:szCs w:val="32"/>
                <w:rtl w:val="0"/>
                <w:lang w:eastAsia="zh-CN"/>
              </w:rPr>
              <w:t xml:space="preserve"> Euro/ton</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00" w:hRule="atLeast"/>
        </w:trPr>
        <w:tc>
          <w:tcPr>
            <w:tcW w:w="6528" w:type="dxa"/>
            <w:vAlign w:val="top"/>
          </w:tcPr>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Category 6: IT Private Household Appliances with all sides ≤ 50cm</w:t>
            </w:r>
          </w:p>
        </w:tc>
        <w:tc>
          <w:tcPr>
            <w:tcW w:w="3372" w:type="dxa"/>
            <w:vAlign w:val="top"/>
          </w:tcPr>
          <w:p>
            <w:pPr>
              <w:widowControl w:val="0"/>
              <w:kinsoku/>
              <w:autoSpaceDE/>
              <w:autoSpaceDN/>
              <w:adjustRightInd/>
              <w:snapToGrid/>
              <w:spacing w:line="240" w:lineRule="auto"/>
              <w:jc w:val="center"/>
              <w:textAlignment w:val="auto"/>
              <w:rPr>
                <w:rFonts w:hint="eastAsia" w:asciiTheme="minorHAnsi" w:hAnsiTheme="minorHAnsi" w:eastAsiaTheme="minorEastAsia" w:cstheme="minorBidi"/>
                <w:snapToGrid/>
                <w:kern w:val="2"/>
                <w:sz w:val="24"/>
                <w:szCs w:val="32"/>
                <w:rtl w:val="0"/>
                <w:lang w:eastAsia="zh-CN"/>
              </w:rPr>
            </w:pPr>
            <w:r>
              <w:rPr>
                <w:rFonts w:hint="eastAsia" w:asciiTheme="minorHAnsi" w:hAnsiTheme="minorHAnsi" w:eastAsiaTheme="minorEastAsia" w:cstheme="minorBidi"/>
                <w:snapToGrid/>
                <w:kern w:val="2"/>
                <w:sz w:val="24"/>
                <w:szCs w:val="32"/>
                <w:rtl w:val="0"/>
                <w:lang w:eastAsia="zh-CN"/>
              </w:rPr>
              <w:t>6 Euro/ton</w:t>
            </w:r>
          </w:p>
        </w:tc>
      </w:tr>
    </w:tbl>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r>
        <w:rPr>
          <w:rStyle w:val="17"/>
          <w:rFonts w:ascii="Segoe UI" w:hAnsi="Segoe UI" w:eastAsia="Segoe UI" w:cs="Segoe UI"/>
          <w:b/>
          <w:bCs/>
          <w:i w:val="0"/>
          <w:iCs w:val="0"/>
          <w:caps w:val="0"/>
          <w:color w:val="0F1115"/>
          <w:spacing w:val="0"/>
          <w:sz w:val="20"/>
          <w:szCs w:val="20"/>
          <w:shd w:val="clear" w:fill="FFFFFF"/>
        </w:rPr>
        <w:t>Germany WEEE Offline Recycling Instruction Charging Standards:</w:t>
      </w:r>
    </w:p>
    <w:p>
      <w:pPr>
        <w:keepNext w:val="0"/>
        <w:keepLines w:val="0"/>
        <w:pageBreakBefore w:val="0"/>
        <w:widowControl/>
        <w:tabs>
          <w:tab w:val="left" w:pos="0"/>
        </w:tabs>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b/>
          <w:bCs/>
          <w:i w:val="0"/>
          <w:smallCaps w:val="0"/>
          <w:strike w:val="0"/>
          <w:snapToGrid w:val="0"/>
          <w:color w:val="000000"/>
          <w:kern w:val="0"/>
          <w:sz w:val="24"/>
          <w:szCs w:val="24"/>
          <w:u w:val="none"/>
          <w:shd w:val="clear" w:fill="auto"/>
          <w:vertAlign w:val="baseline"/>
          <w:rtl w:val="0"/>
          <w:lang w:val="en-US" w:eastAsia="zh-CN" w:bidi="ar-SA"/>
        </w:rPr>
      </w:pP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b/>
          <w:bCs/>
          <w:i w:val="0"/>
          <w:smallCaps w:val="0"/>
          <w:strike w:val="0"/>
          <w:snapToGrid w:val="0"/>
          <w:color w:val="FF0000"/>
          <w:kern w:val="0"/>
          <w:sz w:val="24"/>
          <w:szCs w:val="24"/>
          <w:u w:val="none"/>
          <w:shd w:val="clear" w:fill="auto"/>
          <w:vertAlign w:val="baseline"/>
          <w:rtl w:val="0"/>
          <w:lang w:val="en-US" w:eastAsia="zh-CN" w:bidi="ar-SA"/>
        </w:rPr>
      </w:pPr>
      <w:r>
        <w:rPr>
          <w:rFonts w:ascii="Segoe UI" w:hAnsi="Segoe UI" w:eastAsia="Segoe UI" w:cs="Segoe UI"/>
          <w:i w:val="0"/>
          <w:iCs w:val="0"/>
          <w:caps w:val="0"/>
          <w:color w:val="FF0000"/>
          <w:spacing w:val="0"/>
          <w:sz w:val="19"/>
          <w:szCs w:val="19"/>
          <w:shd w:val="clear" w:fill="FFFFFF"/>
        </w:rPr>
        <w:t>(The following charging standards are based on 2025 prices. If prices are adjusted in 2026, advance notice will be given and a separate supplementary agreement will be signed.)</w:t>
      </w:r>
    </w:p>
    <w:p>
      <w:pPr>
        <w:keepNext w:val="0"/>
        <w:keepLines w:val="0"/>
        <w:pageBreakBefore w:val="0"/>
        <w:widowControl/>
        <w:tabs>
          <w:tab w:val="left" w:pos="0"/>
        </w:tabs>
        <w:kinsoku w:val="0"/>
        <w:wordWrap/>
        <w:overflowPunct/>
        <w:topLinePunct w:val="0"/>
        <w:autoSpaceDE w:val="0"/>
        <w:autoSpaceDN w:val="0"/>
        <w:bidi w:val="0"/>
        <w:adjustRightInd w:val="0"/>
        <w:snapToGrid w:val="0"/>
        <w:spacing w:line="240" w:lineRule="auto"/>
        <w:jc w:val="left"/>
        <w:textAlignment w:val="baseline"/>
        <w:rPr>
          <w:rFonts w:hint="eastAsia" w:asciiTheme="minorEastAsia" w:hAnsiTheme="minorEastAsia" w:eastAsiaTheme="minorEastAsia" w:cstheme="minorEastAsia"/>
          <w:b w:val="0"/>
          <w:bCs w:val="0"/>
          <w:i w:val="0"/>
          <w:smallCaps w:val="0"/>
          <w:strike w:val="0"/>
          <w:snapToGrid w:val="0"/>
          <w:color w:val="FF0000"/>
          <w:kern w:val="0"/>
          <w:sz w:val="24"/>
          <w:szCs w:val="24"/>
          <w:u w:val="none"/>
          <w:shd w:val="clear" w:fill="auto"/>
          <w:vertAlign w:val="baseline"/>
          <w:rtl w:val="0"/>
          <w:lang w:val="en-US" w:eastAsia="zh-CN" w:bidi="ar-SA"/>
        </w:rPr>
      </w:pPr>
    </w:p>
    <w:tbl>
      <w:tblPr>
        <w:tblStyle w:val="15"/>
        <w:tblW w:w="111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7"/>
        <w:gridCol w:w="2746"/>
        <w:gridCol w:w="1745"/>
        <w:gridCol w:w="2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vMerge w:val="restart"/>
            <w:tcBorders>
              <w:top w:val="single" w:color="auto" w:sz="12" w:space="0"/>
              <w:left w:val="single" w:color="auto" w:sz="12" w:space="0"/>
              <w:bottom w:val="single" w:color="auto" w:sz="4" w:space="0"/>
              <w:right w:val="single" w:color="auto" w:sz="4"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eastAsia" w:asciiTheme="minorEastAsia" w:hAnsiTheme="minorEastAsia" w:eastAsiaTheme="minorEastAsia" w:cstheme="minorEastAsia"/>
                <w:b/>
                <w:color w:val="000000"/>
                <w:sz w:val="24"/>
                <w:szCs w:val="24"/>
                <w:shd w:val="clear" w:fill="auto"/>
                <w:vertAlign w:val="baseline"/>
                <w:rtl w:val="0"/>
                <w:lang w:val="en-US" w:eastAsia="zh-CN"/>
              </w:rPr>
            </w:pPr>
          </w:p>
          <w:p>
            <w:pPr>
              <w:keepNext/>
              <w:keepLines w:val="0"/>
              <w:widowControl w:val="0"/>
              <w:suppressLineNumbers w:val="0"/>
              <w:tabs>
                <w:tab w:val="left" w:pos="0"/>
              </w:tabs>
              <w:snapToGrid w:val="0"/>
              <w:spacing w:before="0" w:beforeAutospacing="0" w:after="0" w:afterAutospacing="0" w:line="340" w:lineRule="auto"/>
              <w:ind w:left="0" w:right="0" w:firstLine="760" w:firstLineChars="400"/>
              <w:jc w:val="left"/>
              <w:rPr>
                <w:rFonts w:hint="default" w:asciiTheme="minorEastAsia" w:hAnsiTheme="minorEastAsia" w:eastAsiaTheme="minorEastAsia" w:cstheme="minorEastAsia"/>
                <w:b/>
                <w:color w:val="000000"/>
                <w:sz w:val="28"/>
                <w:szCs w:val="28"/>
                <w:shd w:val="clear" w:fill="auto"/>
                <w:vertAlign w:val="baseline"/>
                <w:rtl w:val="0"/>
                <w:lang w:val="en-US" w:eastAsia="zh-CN"/>
              </w:rPr>
            </w:pPr>
            <w:r>
              <w:rPr>
                <w:rStyle w:val="17"/>
                <w:rFonts w:hint="default" w:ascii="Segoe UI" w:hAnsi="Segoe UI" w:eastAsia="Segoe UI" w:cs="Segoe UI"/>
                <w:b/>
                <w:bCs/>
                <w:i w:val="0"/>
                <w:iCs w:val="0"/>
                <w:caps w:val="0"/>
                <w:color w:val="0F1115"/>
                <w:spacing w:val="0"/>
                <w:sz w:val="19"/>
                <w:szCs w:val="19"/>
                <w:shd w:val="clear" w:fill="FFFFFF"/>
              </w:rPr>
              <w:t>Category</w:t>
            </w:r>
          </w:p>
        </w:tc>
        <w:tc>
          <w:tcPr>
            <w:tcW w:w="7201" w:type="dxa"/>
            <w:gridSpan w:val="3"/>
            <w:tcBorders>
              <w:top w:val="single" w:color="auto" w:sz="12" w:space="0"/>
              <w:left w:val="single" w:color="auto" w:sz="4" w:space="0"/>
              <w:bottom w:val="single" w:color="auto" w:sz="4" w:space="0"/>
              <w:right w:val="single" w:color="auto" w:sz="12"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default" w:asciiTheme="minorEastAsia" w:hAnsiTheme="minorEastAsia" w:eastAsiaTheme="minorEastAsia" w:cstheme="minorEastAsia"/>
                <w:color w:val="000000"/>
                <w:sz w:val="24"/>
                <w:szCs w:val="24"/>
                <w:shd w:val="clear" w:fill="auto"/>
                <w:vertAlign w:val="baseline"/>
                <w:rtl w:val="0"/>
                <w:lang w:val="en-US" w:eastAsia="zh-CN"/>
              </w:rPr>
            </w:pPr>
            <w:r>
              <w:rPr>
                <w:rFonts w:hint="eastAsia" w:asciiTheme="minorEastAsia" w:hAnsiTheme="minorEastAsia" w:eastAsiaTheme="minorEastAsia" w:cstheme="minorEastAsia"/>
                <w:color w:val="000000"/>
                <w:sz w:val="24"/>
                <w:szCs w:val="24"/>
                <w:shd w:val="clear" w:fill="auto"/>
                <w:vertAlign w:val="baseline"/>
                <w:rtl w:val="0"/>
                <w:lang w:val="en-US" w:eastAsia="zh-CN"/>
              </w:rPr>
              <w:t xml:space="preserve">              </w:t>
            </w:r>
            <w:r>
              <w:rPr>
                <w:rFonts w:hint="eastAsia" w:asciiTheme="minorEastAsia" w:hAnsiTheme="minorEastAsia" w:eastAsiaTheme="minorEastAsia" w:cstheme="minorEastAsia"/>
                <w:b/>
                <w:bCs/>
                <w:color w:val="000000"/>
                <w:sz w:val="28"/>
                <w:szCs w:val="28"/>
                <w:shd w:val="clear" w:fill="auto"/>
                <w:vertAlign w:val="baseline"/>
                <w:rtl w:val="0"/>
                <w:lang w:val="en-US" w:eastAsia="zh-CN"/>
              </w:rPr>
              <w:t xml:space="preserve">   </w:t>
            </w:r>
            <w:r>
              <w:rPr>
                <w:rStyle w:val="17"/>
                <w:rFonts w:hint="default" w:ascii="Segoe UI" w:hAnsi="Segoe UI" w:eastAsia="Segoe UI" w:cs="Segoe UI"/>
                <w:b/>
                <w:bCs/>
                <w:i w:val="0"/>
                <w:iCs w:val="0"/>
                <w:caps w:val="0"/>
                <w:color w:val="0F1115"/>
                <w:spacing w:val="0"/>
                <w:sz w:val="19"/>
                <w:szCs w:val="19"/>
                <w:shd w:val="clear" w:fill="FFFFFF"/>
              </w:rPr>
              <w:t>Recycling Fees (EUR)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vMerge w:val="continue"/>
            <w:tcBorders>
              <w:top w:val="single" w:color="auto" w:sz="4" w:space="0"/>
              <w:left w:val="single" w:color="auto" w:sz="12" w:space="0"/>
              <w:bottom w:val="single" w:color="auto" w:sz="4" w:space="0"/>
              <w:right w:val="single" w:color="auto" w:sz="4"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eastAsia" w:asciiTheme="minorEastAsia" w:hAnsiTheme="minorEastAsia" w:eastAsiaTheme="minorEastAsia" w:cstheme="minorEastAsia"/>
                <w:b/>
                <w:color w:val="000000"/>
                <w:sz w:val="24"/>
                <w:szCs w:val="24"/>
                <w:shd w:val="clear" w:fill="auto"/>
                <w:vertAlign w:val="baseline"/>
                <w:rtl w:val="0"/>
                <w:lang w:val="en-US" w:eastAsia="zh-CN"/>
              </w:rPr>
            </w:pPr>
          </w:p>
        </w:tc>
        <w:tc>
          <w:tcPr>
            <w:tcW w:w="2746" w:type="dxa"/>
            <w:tcBorders>
              <w:top w:val="single" w:color="auto" w:sz="4" w:space="0"/>
              <w:left w:val="single" w:color="auto" w:sz="4" w:space="0"/>
              <w:bottom w:val="single" w:color="auto" w:sz="4" w:space="0"/>
              <w:right w:val="single" w:color="auto" w:sz="4"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default" w:asciiTheme="minorEastAsia" w:hAnsiTheme="minorEastAsia" w:eastAsiaTheme="minorEastAsia" w:cstheme="minorEastAsia"/>
                <w:b/>
                <w:bCs/>
                <w:color w:val="000000"/>
                <w:sz w:val="24"/>
                <w:szCs w:val="24"/>
                <w:shd w:val="clear" w:fill="auto"/>
                <w:vertAlign w:val="baseline"/>
                <w:rtl w:val="0"/>
                <w:lang w:val="en-US" w:eastAsia="zh-CN"/>
              </w:rPr>
            </w:pPr>
            <w:r>
              <w:rPr>
                <w:rFonts w:hint="eastAsia" w:asciiTheme="minorEastAsia" w:hAnsiTheme="minorEastAsia" w:eastAsiaTheme="minorEastAsia" w:cstheme="minorEastAsia"/>
                <w:b/>
                <w:bCs/>
                <w:color w:val="000000"/>
                <w:sz w:val="24"/>
                <w:szCs w:val="24"/>
                <w:shd w:val="clear" w:fill="auto"/>
                <w:vertAlign w:val="baseline"/>
                <w:rtl w:val="0"/>
                <w:lang w:val="en-US" w:eastAsia="zh-CN"/>
              </w:rPr>
              <w:t>/ (Abrollcontainer)</w:t>
            </w:r>
          </w:p>
        </w:tc>
        <w:tc>
          <w:tcPr>
            <w:tcW w:w="1745" w:type="dxa"/>
            <w:tcBorders>
              <w:top w:val="single" w:color="auto" w:sz="4" w:space="0"/>
              <w:left w:val="single" w:color="auto" w:sz="4" w:space="0"/>
              <w:bottom w:val="single" w:color="auto" w:sz="4" w:space="0"/>
              <w:right w:val="single" w:color="auto" w:sz="4"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default" w:asciiTheme="minorEastAsia" w:hAnsiTheme="minorEastAsia" w:eastAsiaTheme="minorEastAsia" w:cstheme="minorEastAsia"/>
                <w:b/>
                <w:bCs/>
                <w:color w:val="000000"/>
                <w:sz w:val="24"/>
                <w:szCs w:val="24"/>
                <w:shd w:val="clear" w:fill="auto"/>
                <w:vertAlign w:val="baseline"/>
                <w:rtl w:val="0"/>
                <w:lang w:val="en-US" w:eastAsia="zh-CN"/>
              </w:rPr>
            </w:pPr>
            <w:r>
              <w:rPr>
                <w:rFonts w:hint="eastAsia" w:asciiTheme="minorEastAsia" w:hAnsiTheme="minorEastAsia" w:eastAsiaTheme="minorEastAsia" w:cstheme="minorEastAsia"/>
                <w:b/>
                <w:bCs/>
                <w:color w:val="000000"/>
                <w:sz w:val="24"/>
                <w:szCs w:val="24"/>
                <w:shd w:val="clear" w:fill="auto"/>
                <w:vertAlign w:val="baseline"/>
                <w:rtl w:val="0"/>
                <w:lang w:val="en-US" w:eastAsia="zh-CN"/>
              </w:rPr>
              <w:t>/ (Gitterbox)</w:t>
            </w:r>
          </w:p>
        </w:tc>
        <w:tc>
          <w:tcPr>
            <w:tcW w:w="2710" w:type="dxa"/>
            <w:tcBorders>
              <w:top w:val="single" w:color="auto" w:sz="4" w:space="0"/>
              <w:left w:val="single" w:color="auto" w:sz="4" w:space="0"/>
              <w:bottom w:val="single" w:color="auto" w:sz="4" w:space="0"/>
              <w:right w:val="single" w:color="auto" w:sz="12" w:space="0"/>
            </w:tcBorders>
          </w:tcPr>
          <w:p>
            <w:pPr>
              <w:keepNext/>
              <w:keepLines w:val="0"/>
              <w:widowControl w:val="0"/>
              <w:suppressLineNumbers w:val="0"/>
              <w:tabs>
                <w:tab w:val="left" w:pos="0"/>
              </w:tabs>
              <w:snapToGrid w:val="0"/>
              <w:spacing w:before="0" w:beforeAutospacing="0" w:after="0" w:afterAutospacing="0" w:line="340" w:lineRule="auto"/>
              <w:ind w:left="0" w:right="0"/>
              <w:jc w:val="left"/>
              <w:rPr>
                <w:rFonts w:hint="eastAsia" w:asciiTheme="minorEastAsia" w:hAnsiTheme="minorEastAsia" w:eastAsiaTheme="minorEastAsia" w:cstheme="minorEastAsia"/>
                <w:b/>
                <w:bCs/>
                <w:color w:val="000000"/>
                <w:sz w:val="24"/>
                <w:szCs w:val="24"/>
                <w:shd w:val="clear" w:fill="auto"/>
                <w:vertAlign w:val="baseline"/>
                <w:rtl w:val="0"/>
                <w:lang w:val="en-US" w:eastAsia="zh-CN"/>
              </w:rPr>
            </w:pPr>
            <w:r>
              <w:rPr>
                <w:rStyle w:val="17"/>
                <w:rFonts w:hint="default" w:ascii="Segoe UI" w:hAnsi="Segoe UI" w:eastAsia="Segoe UI" w:cs="Segoe UI"/>
                <w:b/>
                <w:bCs/>
                <w:i w:val="0"/>
                <w:iCs w:val="0"/>
                <w:caps w:val="0"/>
                <w:color w:val="0F1115"/>
                <w:spacing w:val="0"/>
                <w:sz w:val="19"/>
                <w:szCs w:val="19"/>
                <w:shd w:val="clear" w:fill="FFFFFF"/>
              </w:rPr>
              <w:t>Night Storage Heaters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 xml:space="preserve"> </w:t>
            </w:r>
            <w:r>
              <w:rPr>
                <w:rFonts w:hint="eastAsia" w:asciiTheme="minorHAnsi" w:hAnsiTheme="minorHAnsi" w:eastAsiaTheme="minorEastAsia" w:cstheme="minorBidi"/>
                <w:snapToGrid/>
                <w:kern w:val="2"/>
                <w:sz w:val="24"/>
                <w:szCs w:val="32"/>
                <w:rtl w:val="0"/>
                <w:lang w:eastAsia="zh-CN"/>
              </w:rPr>
              <w:t>Category 1: Heat Exchangers</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320EUR/ton+90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2: Screens with surface area &gt; 100 cm²</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300EUR/ton+90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375 EUR/ton + 90 EUR/box</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3: Lamps</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1380EUR/ton+90 EUR/time+actual packaging costs</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4: Private Household Appliances with any side &gt;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55EUR/ton+ 90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375 EUR/ton + 90 EUR/box</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650</w:t>
            </w:r>
            <w:r>
              <w:rPr>
                <w:rFonts w:hint="eastAsia" w:asciiTheme="minorHAnsi" w:hAnsiTheme="minorHAnsi" w:eastAsiaTheme="minorEastAsia" w:cstheme="minorBidi"/>
                <w:snapToGrid/>
                <w:kern w:val="2"/>
                <w:sz w:val="24"/>
                <w:szCs w:val="32"/>
                <w:rtl w:val="0"/>
                <w:lang w:eastAsia="zh-CN"/>
              </w:rPr>
              <w:t>EUR/ton+90EUR/time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4: Large PV with any side &gt;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640EUR/ton+400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5: Private Household Appliances with all sides ≤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79</w:t>
            </w:r>
            <w:r>
              <w:rPr>
                <w:rFonts w:hint="eastAsia" w:asciiTheme="minorHAnsi" w:hAnsiTheme="minorHAnsi" w:eastAsiaTheme="minorEastAsia" w:cstheme="minorBidi"/>
                <w:snapToGrid/>
                <w:kern w:val="2"/>
                <w:sz w:val="24"/>
                <w:szCs w:val="32"/>
                <w:rtl w:val="0"/>
                <w:lang w:eastAsia="zh-CN"/>
              </w:rPr>
              <w:t xml:space="preserve">EUR/ton+ </w:t>
            </w:r>
            <w:r>
              <w:rPr>
                <w:rFonts w:hint="eastAsia" w:asciiTheme="minorHAnsi" w:hAnsiTheme="minorHAnsi" w:eastAsiaTheme="minorEastAsia" w:cstheme="minorBidi"/>
                <w:snapToGrid/>
                <w:kern w:val="2"/>
                <w:sz w:val="24"/>
                <w:szCs w:val="32"/>
                <w:rtl w:val="0"/>
                <w:lang w:val="en-US" w:eastAsia="zh-CN"/>
              </w:rPr>
              <w:t>9</w:t>
            </w:r>
            <w:r>
              <w:rPr>
                <w:rFonts w:hint="eastAsia" w:asciiTheme="minorHAnsi" w:hAnsiTheme="minorHAnsi" w:eastAsiaTheme="minorEastAsia" w:cstheme="minorBidi"/>
                <w:snapToGrid/>
                <w:kern w:val="2"/>
                <w:sz w:val="24"/>
                <w:szCs w:val="32"/>
                <w:rtl w:val="0"/>
                <w:lang w:eastAsia="zh-CN"/>
              </w:rPr>
              <w:t>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375 EUR/ton + 90 EUR/box</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5: Small PV with all sides ≤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640</w:t>
            </w:r>
            <w:r>
              <w:rPr>
                <w:rFonts w:hint="eastAsia" w:asciiTheme="minorHAnsi" w:hAnsiTheme="minorHAnsi" w:eastAsiaTheme="minorEastAsia" w:cstheme="minorBidi"/>
                <w:snapToGrid/>
                <w:kern w:val="2"/>
                <w:sz w:val="24"/>
                <w:szCs w:val="32"/>
                <w:rtl w:val="0"/>
                <w:lang w:eastAsia="zh-CN"/>
              </w:rPr>
              <w:t>EUR/ton+</w:t>
            </w:r>
            <w:r>
              <w:rPr>
                <w:rFonts w:hint="eastAsia" w:asciiTheme="minorHAnsi" w:hAnsiTheme="minorHAnsi" w:eastAsiaTheme="minorEastAsia" w:cstheme="minorBidi"/>
                <w:snapToGrid/>
                <w:kern w:val="2"/>
                <w:sz w:val="24"/>
                <w:szCs w:val="32"/>
                <w:rtl w:val="0"/>
                <w:lang w:val="en-US" w:eastAsia="zh-CN"/>
              </w:rPr>
              <w:t>40</w:t>
            </w:r>
            <w:r>
              <w:rPr>
                <w:rFonts w:hint="eastAsia" w:asciiTheme="minorHAnsi" w:hAnsiTheme="minorHAnsi" w:eastAsiaTheme="minorEastAsia" w:cstheme="minorBidi"/>
                <w:snapToGrid/>
                <w:kern w:val="2"/>
                <w:sz w:val="24"/>
                <w:szCs w:val="32"/>
                <w:rtl w:val="0"/>
                <w:lang w:eastAsia="zh-CN"/>
              </w:rPr>
              <w:t>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4" w:space="0"/>
              <w:right w:val="single" w:color="auto" w:sz="4" w:space="0"/>
            </w:tcBorders>
            <w:vAlign w:val="top"/>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Category 6: IT Private Household Appliances with all sides ≤ 50cm</w:t>
            </w:r>
          </w:p>
        </w:tc>
        <w:tc>
          <w:tcPr>
            <w:tcW w:w="2746"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79</w:t>
            </w:r>
            <w:r>
              <w:rPr>
                <w:rFonts w:hint="eastAsia" w:asciiTheme="minorHAnsi" w:hAnsiTheme="minorHAnsi" w:eastAsiaTheme="minorEastAsia" w:cstheme="minorBidi"/>
                <w:snapToGrid/>
                <w:kern w:val="2"/>
                <w:sz w:val="24"/>
                <w:szCs w:val="32"/>
                <w:rtl w:val="0"/>
                <w:lang w:eastAsia="zh-CN"/>
              </w:rPr>
              <w:t xml:space="preserve">EUR/ton+ </w:t>
            </w:r>
            <w:r>
              <w:rPr>
                <w:rFonts w:hint="eastAsia" w:asciiTheme="minorHAnsi" w:hAnsiTheme="minorHAnsi" w:eastAsiaTheme="minorEastAsia" w:cstheme="minorBidi"/>
                <w:snapToGrid/>
                <w:kern w:val="2"/>
                <w:sz w:val="24"/>
                <w:szCs w:val="32"/>
                <w:rtl w:val="0"/>
                <w:lang w:val="en-US" w:eastAsia="zh-CN"/>
              </w:rPr>
              <w:t>9</w:t>
            </w:r>
            <w:r>
              <w:rPr>
                <w:rFonts w:hint="eastAsia" w:asciiTheme="minorHAnsi" w:hAnsiTheme="minorHAnsi" w:eastAsiaTheme="minorEastAsia" w:cstheme="minorBidi"/>
                <w:snapToGrid/>
                <w:kern w:val="2"/>
                <w:sz w:val="24"/>
                <w:szCs w:val="32"/>
                <w:rtl w:val="0"/>
                <w:lang w:eastAsia="zh-CN"/>
              </w:rPr>
              <w:t>0 EUR/time</w:t>
            </w:r>
          </w:p>
        </w:tc>
        <w:tc>
          <w:tcPr>
            <w:tcW w:w="1745" w:type="dxa"/>
            <w:tcBorders>
              <w:top w:val="single" w:color="auto" w:sz="4" w:space="0"/>
              <w:left w:val="single" w:color="auto" w:sz="4" w:space="0"/>
              <w:bottom w:val="single" w:color="auto" w:sz="4"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375 EUR/ton + 90 EUR/box</w:t>
            </w:r>
          </w:p>
        </w:tc>
        <w:tc>
          <w:tcPr>
            <w:tcW w:w="2710" w:type="dxa"/>
            <w:tcBorders>
              <w:top w:val="single" w:color="auto" w:sz="4" w:space="0"/>
              <w:left w:val="single" w:color="auto" w:sz="4" w:space="0"/>
              <w:bottom w:val="single" w:color="auto" w:sz="4"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3987" w:type="dxa"/>
            <w:tcBorders>
              <w:top w:val="single" w:color="auto" w:sz="4" w:space="0"/>
              <w:left w:val="single" w:color="auto" w:sz="12" w:space="0"/>
              <w:bottom w:val="single" w:color="auto" w:sz="12"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First placement of waste container</w:t>
            </w:r>
          </w:p>
        </w:tc>
        <w:tc>
          <w:tcPr>
            <w:tcW w:w="2746" w:type="dxa"/>
            <w:tcBorders>
              <w:top w:val="single" w:color="auto" w:sz="4" w:space="0"/>
              <w:left w:val="single" w:color="auto" w:sz="4" w:space="0"/>
              <w:bottom w:val="single" w:color="auto" w:sz="12"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default" w:ascii="Segoe UI" w:hAnsi="Segoe UI" w:eastAsia="Segoe UI" w:cs="Segoe UI"/>
                <w:i w:val="0"/>
                <w:iCs w:val="0"/>
                <w:caps w:val="0"/>
                <w:color w:val="0F1115"/>
                <w:spacing w:val="0"/>
                <w:sz w:val="19"/>
                <w:szCs w:val="19"/>
                <w:shd w:val="clear" w:fill="FFFFFF"/>
              </w:rPr>
              <w:t>390 EUR/time/unit</w:t>
            </w:r>
          </w:p>
        </w:tc>
        <w:tc>
          <w:tcPr>
            <w:tcW w:w="1745" w:type="dxa"/>
            <w:tcBorders>
              <w:top w:val="single" w:color="auto" w:sz="4" w:space="0"/>
              <w:left w:val="single" w:color="auto" w:sz="4" w:space="0"/>
              <w:bottom w:val="single" w:color="auto" w:sz="12" w:space="0"/>
              <w:right w:val="single" w:color="auto" w:sz="4"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Segoe UI" w:hAnsi="Segoe UI" w:eastAsia="宋体" w:cs="Segoe UI"/>
                <w:i w:val="0"/>
                <w:iCs w:val="0"/>
                <w:caps w:val="0"/>
                <w:color w:val="0F1115"/>
                <w:spacing w:val="0"/>
                <w:sz w:val="19"/>
                <w:szCs w:val="19"/>
                <w:shd w:val="clear" w:fill="FFFFFF"/>
                <w:lang w:val="en-US" w:eastAsia="zh-CN"/>
              </w:rPr>
              <w:t>26</w:t>
            </w:r>
            <w:r>
              <w:rPr>
                <w:rFonts w:hint="default" w:ascii="Segoe UI" w:hAnsi="Segoe UI" w:eastAsia="Segoe UI" w:cs="Segoe UI"/>
                <w:i w:val="0"/>
                <w:iCs w:val="0"/>
                <w:caps w:val="0"/>
                <w:color w:val="0F1115"/>
                <w:spacing w:val="0"/>
                <w:sz w:val="19"/>
                <w:szCs w:val="19"/>
                <w:shd w:val="clear" w:fill="FFFFFF"/>
              </w:rPr>
              <w:t>0 EUR/time/unit</w:t>
            </w:r>
          </w:p>
        </w:tc>
        <w:tc>
          <w:tcPr>
            <w:tcW w:w="2710" w:type="dxa"/>
            <w:tcBorders>
              <w:top w:val="single" w:color="auto" w:sz="4" w:space="0"/>
              <w:left w:val="single" w:color="auto" w:sz="4" w:space="0"/>
              <w:bottom w:val="single" w:color="auto" w:sz="12" w:space="0"/>
              <w:right w:val="single" w:color="auto" w:sz="12" w:space="0"/>
            </w:tcBorders>
          </w:tcPr>
          <w:p>
            <w:pPr>
              <w:keepNext w:val="0"/>
              <w:keepLines w:val="0"/>
              <w:widowControl w:val="0"/>
              <w:suppressLineNumbers w:val="0"/>
              <w:kinsoku/>
              <w:autoSpaceDE/>
              <w:autoSpaceDN/>
              <w:adjustRightInd/>
              <w:snapToGrid/>
              <w:spacing w:before="0" w:beforeAutospacing="0" w:after="0" w:afterAutospacing="0" w:line="240" w:lineRule="auto"/>
              <w:ind w:left="0" w:right="0"/>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val="en-US" w:eastAsia="zh-CN"/>
              </w:rPr>
              <w:t>/</w:t>
            </w:r>
          </w:p>
        </w:tc>
      </w:tr>
    </w:tbl>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lang w:val="en-US" w:eastAsia="zh-CN"/>
        </w:rPr>
      </w:pPr>
    </w:p>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r>
        <w:rPr>
          <w:rFonts w:hint="default" w:asciiTheme="minorHAnsi" w:hAnsiTheme="minorHAnsi" w:eastAsiaTheme="minorEastAsia" w:cstheme="minorBidi"/>
          <w:snapToGrid/>
          <w:kern w:val="2"/>
          <w:sz w:val="24"/>
          <w:szCs w:val="32"/>
          <w:rtl w:val="0"/>
          <w:lang w:eastAsia="zh-CN"/>
          <w:woUserID w:val="1"/>
        </w:rPr>
        <w:t>German Battery Act (Registration – 1 brand + 1 year of reporting, includes official fees and recycling fees within the package, excludes OfH fee addition):Equipment battery renewal package price for 2026: 275 euros (includes 30 euros recycling credit).Industrial battery renewal package price for 2026: 500 euros (includes 300kg recycling credit).Light means of transport (LMT) battery renewal package price for 2026: 375 euros（recycling credit not included ）.</w:t>
      </w:r>
    </w:p>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r>
        <w:rPr>
          <w:rFonts w:hint="default" w:asciiTheme="minorHAnsi" w:hAnsiTheme="minorHAnsi" w:eastAsiaTheme="minorEastAsia" w:cstheme="minorBidi"/>
          <w:snapToGrid/>
          <w:kern w:val="2"/>
          <w:sz w:val="24"/>
          <w:szCs w:val="32"/>
          <w:rtl w:val="0"/>
          <w:lang w:eastAsia="zh-CN"/>
          <w:woUserID w:val="1"/>
        </w:rPr>
        <w:t>For each additional brand, the Client shall pay an extra 65 euros.</w:t>
      </w:r>
    </w:p>
    <w:tbl>
      <w:tblPr>
        <w:tblStyle w:val="14"/>
        <w:tblpPr w:leftFromText="180" w:rightFromText="180" w:vertAnchor="text" w:horzAnchor="page" w:tblpX="1310" w:tblpY="134"/>
        <w:tblOverlap w:val="never"/>
        <w:tblW w:w="93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799"/>
        <w:gridCol w:w="1972"/>
        <w:gridCol w:w="35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60" w:hRule="atLeast"/>
        </w:trPr>
        <w:tc>
          <w:tcPr>
            <w:tcW w:w="9300" w:type="dxa"/>
            <w:gridSpan w:val="3"/>
            <w:tcBorders>
              <w:top w:val="single" w:color="000000" w:sz="4" w:space="0"/>
              <w:left w:val="single" w:color="000000" w:sz="4" w:space="0"/>
              <w:bottom w:val="single" w:color="000000" w:sz="4" w:space="0"/>
              <w:right w:val="single" w:color="000000" w:sz="4" w:space="0"/>
            </w:tcBorders>
            <w:shd w:val="clear" w:color="auto" w:fill="E3F2D9"/>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000000"/>
                <w:sz w:val="28"/>
                <w:szCs w:val="28"/>
                <w:u w:val="none"/>
              </w:rPr>
            </w:pPr>
            <w:r>
              <w:rPr>
                <w:rStyle w:val="17"/>
                <w:rFonts w:hint="default" w:ascii="Segoe UI" w:hAnsi="Segoe UI" w:eastAsia="Segoe UI" w:cs="Segoe UI"/>
                <w:b/>
                <w:bCs/>
                <w:i w:val="0"/>
                <w:iCs w:val="0"/>
                <w:caps w:val="0"/>
                <w:color w:val="0F1115"/>
                <w:spacing w:val="0"/>
                <w:sz w:val="19"/>
                <w:szCs w:val="19"/>
                <w:shd w:val="clear" w:fill="FFFFFF"/>
                <w:rtl w:val="0"/>
                <w:lang w:eastAsia="zh-CN"/>
              </w:rPr>
              <w:t>Equipment battery</w:t>
            </w:r>
            <w:r>
              <w:rPr>
                <w:rStyle w:val="17"/>
                <w:rFonts w:hint="default" w:ascii="Segoe UI" w:hAnsi="Segoe UI" w:eastAsia="Segoe UI" w:cs="Segoe UI"/>
                <w:b/>
                <w:bCs/>
                <w:i w:val="0"/>
                <w:iCs w:val="0"/>
                <w:caps w:val="0"/>
                <w:color w:val="0F1115"/>
                <w:spacing w:val="0"/>
                <w:sz w:val="19"/>
                <w:szCs w:val="19"/>
                <w:shd w:val="clear" w:fill="FFFFFF"/>
              </w:rPr>
              <w:t xml:space="preserve"> Recycling Package</w:t>
            </w:r>
            <w:r>
              <w:rPr>
                <w:rStyle w:val="17"/>
                <w:rFonts w:hint="eastAsia" w:ascii="Segoe UI" w:hAnsi="Segoe UI" w:eastAsia="宋体" w:cs="Segoe UI"/>
                <w:b/>
                <w:bCs/>
                <w:i w:val="0"/>
                <w:iCs w:val="0"/>
                <w:caps w:val="0"/>
                <w:color w:val="0F1115"/>
                <w:spacing w:val="0"/>
                <w:sz w:val="19"/>
                <w:szCs w:val="19"/>
                <w:shd w:val="clear" w:fill="FFFFFF"/>
                <w:lang w:val="en-US" w:eastAsia="zh-CN"/>
              </w:rPr>
              <w:t xml:space="preserve">     </w:t>
            </w:r>
            <w:r>
              <w:rPr>
                <w:rFonts w:hint="default" w:ascii="宋体" w:hAnsi="宋体" w:eastAsia="宋体" w:cs="宋体"/>
                <w:b/>
                <w:bCs/>
                <w:i w:val="0"/>
                <w:iCs w:val="0"/>
                <w:color w:val="000000"/>
                <w:kern w:val="0"/>
                <w:sz w:val="28"/>
                <w:szCs w:val="28"/>
                <w:u w:val="none"/>
                <w:lang w:eastAsia="zh-CN" w:bidi="ar"/>
                <w:woUserID w:val="1"/>
              </w:rPr>
              <w:t/>
            </w:r>
            <w:r>
              <w:rPr>
                <w:rFonts w:hint="eastAsia" w:ascii="宋体" w:hAnsi="宋体" w:eastAsia="宋体" w:cs="宋体"/>
                <w:b/>
                <w:bCs/>
                <w:i w:val="0"/>
                <w:iCs w:val="0"/>
                <w:color w:val="000000"/>
                <w:kern w:val="0"/>
                <w:sz w:val="28"/>
                <w:szCs w:val="28"/>
                <w:u w:val="none"/>
                <w:lang w:val="en-US" w:eastAsia="zh-CN" w:bidi="ar"/>
              </w:rPr>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60" w:hRule="atLeast"/>
        </w:trPr>
        <w:tc>
          <w:tcPr>
            <w:tcW w:w="3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Segoe UI" w:hAnsi="Segoe UI" w:eastAsia="宋体" w:cs="Segoe UI"/>
                <w:i w:val="0"/>
                <w:iCs w:val="0"/>
                <w:caps w:val="0"/>
                <w:color w:val="0F1115"/>
                <w:spacing w:val="0"/>
                <w:sz w:val="19"/>
                <w:szCs w:val="19"/>
                <w:shd w:val="clear" w:fill="FFFFFF"/>
                <w:lang w:val="en-US" w:eastAsia="zh-CN"/>
              </w:rPr>
            </w:pPr>
            <w:r>
              <w:rPr>
                <w:rFonts w:hint="default" w:ascii="Segoe UI" w:hAnsi="Segoe UI" w:eastAsia="Segoe UI" w:cs="Segoe UI"/>
                <w:i w:val="0"/>
                <w:iCs w:val="0"/>
                <w:caps w:val="0"/>
                <w:color w:val="0F1115"/>
                <w:spacing w:val="0"/>
                <w:sz w:val="19"/>
                <w:szCs w:val="19"/>
                <w:shd w:val="clear" w:fill="FFFFFF"/>
              </w:rPr>
              <w:t>Battery Type</w:t>
            </w:r>
            <w:r>
              <w:rPr>
                <w:rFonts w:hint="eastAsia" w:ascii="Segoe UI" w:hAnsi="Segoe UI" w:eastAsia="宋体" w:cs="Segoe UI"/>
                <w:i w:val="0"/>
                <w:iCs w:val="0"/>
                <w:caps w:val="0"/>
                <w:color w:val="0F1115"/>
                <w:spacing w:val="0"/>
                <w:sz w:val="19"/>
                <w:szCs w:val="19"/>
                <w:shd w:val="clear" w:fill="FFFFFF"/>
                <w:lang w:val="en-US" w:eastAsia="zh-CN"/>
              </w:rPr>
              <w:t xml:space="preserve">  </w:t>
            </w:r>
          </w:p>
        </w:tc>
        <w:tc>
          <w:tcPr>
            <w:tcW w:w="1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Max. Recycling in Package</w:t>
            </w:r>
          </w:p>
        </w:tc>
        <w:tc>
          <w:tcPr>
            <w:tcW w:w="3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Excess Unit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60" w:hRule="atLeast"/>
        </w:trPr>
        <w:tc>
          <w:tcPr>
            <w:tcW w:w="3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Portable - Button Cells</w:t>
            </w:r>
          </w:p>
        </w:tc>
        <w:tc>
          <w:tcPr>
            <w:tcW w:w="1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2000个</w:t>
            </w:r>
          </w:p>
        </w:tc>
        <w:tc>
          <w:tcPr>
            <w:tcW w:w="3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0.015 EUR/unit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60" w:hRule="atLeast"/>
        </w:trPr>
        <w:tc>
          <w:tcPr>
            <w:tcW w:w="3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2"/>
                <w:szCs w:val="22"/>
                <w:u w:val="none"/>
                <w:lang w:val="en-US" w:eastAsia="zh-CN" w:bidi="ar"/>
              </w:rPr>
            </w:pPr>
            <w:r>
              <w:rPr>
                <w:rFonts w:hint="default" w:ascii="Segoe UI" w:hAnsi="Segoe UI" w:eastAsia="Segoe UI" w:cs="Segoe UI"/>
                <w:i w:val="0"/>
                <w:iCs w:val="0"/>
                <w:caps w:val="0"/>
                <w:color w:val="0F1115"/>
                <w:spacing w:val="0"/>
                <w:sz w:val="19"/>
                <w:szCs w:val="19"/>
                <w:shd w:val="clear" w:fill="FFFFFF"/>
              </w:rPr>
              <w:t>Portable - Non-button Cells (&gt;5g)</w:t>
            </w:r>
          </w:p>
        </w:tc>
        <w:tc>
          <w:tcPr>
            <w:tcW w:w="19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20kg</w:t>
            </w:r>
          </w:p>
        </w:tc>
        <w:tc>
          <w:tcPr>
            <w:tcW w:w="35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000000"/>
                <w:kern w:val="0"/>
                <w:sz w:val="22"/>
                <w:szCs w:val="22"/>
                <w:u w:val="none"/>
                <w:lang w:val="en-US" w:eastAsia="zh-CN" w:bidi="ar"/>
              </w:rPr>
            </w:pPr>
          </w:p>
          <w:p>
            <w:pPr>
              <w:keepNext w:val="0"/>
              <w:keepLines w:val="0"/>
              <w:widowControl/>
              <w:suppressLineNumbers w:val="0"/>
              <w:spacing w:before="0" w:beforeAutospacing="0" w:after="0" w:afterAutospacing="0"/>
              <w:ind w:left="0" w:right="0"/>
              <w:jc w:val="center"/>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1.5 EUR/kg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708" w:hRule="atLeast"/>
        </w:trPr>
        <w:tc>
          <w:tcPr>
            <w:tcW w:w="930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Fonts w:hint="default" w:ascii="Segoe UI" w:hAnsi="Segoe UI" w:eastAsia="Segoe UI" w:cs="Segoe UI"/>
                <w:i w:val="0"/>
                <w:iCs w:val="0"/>
                <w:caps w:val="0"/>
                <w:color w:val="0F1115"/>
                <w:spacing w:val="0"/>
                <w:sz w:val="19"/>
                <w:szCs w:val="19"/>
                <w:shd w:val="clear" w:fill="FFFFFF"/>
              </w:rPr>
            </w:pPr>
            <w:r>
              <w:rPr>
                <w:rFonts w:hint="default" w:ascii="Segoe UI" w:hAnsi="Segoe UI" w:eastAsia="Segoe UI" w:cs="Segoe UI"/>
                <w:i w:val="0"/>
                <w:iCs w:val="0"/>
                <w:caps w:val="0"/>
                <w:color w:val="0F1115"/>
                <w:spacing w:val="0"/>
                <w:sz w:val="19"/>
                <w:szCs w:val="19"/>
                <w:shd w:val="clear" w:fill="FFFFFF"/>
              </w:rPr>
              <w:t>The package includes 20kg of non-button cells or 2000 button cells. If the package quantity is exceeded, contact staff to calculate the excess amount.</w:t>
            </w:r>
          </w:p>
        </w:tc>
      </w:tr>
    </w:tbl>
    <w:p>
      <w:pPr>
        <w:tabs>
          <w:tab w:val="left" w:pos="0"/>
        </w:tabs>
        <w:spacing w:line="340" w:lineRule="auto"/>
        <w:jc w:val="left"/>
        <w:rPr>
          <w:rFonts w:hint="eastAsia" w:asciiTheme="minorEastAsia" w:hAnsiTheme="minorEastAsia" w:eastAsiaTheme="minorEastAsia" w:cstheme="minorEastAsia"/>
          <w:color w:val="000000"/>
          <w:sz w:val="24"/>
          <w:szCs w:val="24"/>
          <w:shd w:val="clear" w:fill="auto"/>
          <w:rtl w:val="0"/>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Germany Single-Use Plastics Law (First registration - unlimited categories + 1 year declaration, excluding recycling fees) The 2026 renewal package price is 100 Euros; for each additional category added subsequently, Party A needs to pay an additional 25 Euros.</w:t>
      </w:r>
    </w:p>
    <w:tbl>
      <w:tblPr>
        <w:tblStyle w:val="14"/>
        <w:tblW w:w="8428" w:type="dxa"/>
        <w:tblInd w:w="126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869"/>
        <w:gridCol w:w="35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72" w:hRule="atLeast"/>
        </w:trPr>
        <w:tc>
          <w:tcPr>
            <w:tcW w:w="8428" w:type="dxa"/>
            <w:gridSpan w:val="2"/>
            <w:tcBorders>
              <w:top w:val="single" w:color="000000" w:sz="2" w:space="0"/>
              <w:left w:val="single" w:color="000000" w:sz="2" w:space="0"/>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313" w:afterLines="10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32"/>
                <w:szCs w:val="32"/>
                <w:lang w:val="en-US" w:eastAsia="zh-CN" w:bidi="ar"/>
                <w:woUserID w:val="1"/>
              </w:rPr>
              <w:t>一次性塑料法</w:t>
            </w:r>
            <w:r>
              <w:rPr>
                <w:rFonts w:hint="default" w:ascii="Arial" w:hAnsi="Arial" w:eastAsia="宋体" w:cs="Arial"/>
                <w:b/>
                <w:i w:val="0"/>
                <w:snapToGrid w:val="0"/>
                <w:color w:val="000000"/>
                <w:kern w:val="0"/>
                <w:sz w:val="32"/>
                <w:szCs w:val="32"/>
                <w:lang w:val="en-US" w:eastAsia="zh-CN" w:bidi="ar"/>
                <w:woUserID w:val="1"/>
              </w:rPr>
              <w:t xml:space="preserve"> </w:t>
            </w:r>
            <w:r>
              <w:rPr>
                <w:rFonts w:hint="eastAsia" w:ascii="宋体" w:hAnsi="宋体" w:eastAsia="宋体" w:cs="宋体"/>
                <w:b/>
                <w:i w:val="0"/>
                <w:snapToGrid w:val="0"/>
                <w:color w:val="000000"/>
                <w:kern w:val="0"/>
                <w:sz w:val="32"/>
                <w:szCs w:val="32"/>
                <w:lang w:val="en-US" w:eastAsia="zh-CN" w:bidi="ar"/>
                <w:woUserID w:val="1"/>
              </w:rPr>
              <w:t>实际回收费用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24"/>
                <w:szCs w:val="24"/>
                <w:lang w:val="en-US" w:eastAsia="zh-CN" w:bidi="ar"/>
                <w:woUserID w:val="1"/>
              </w:rPr>
              <w:t>产品材质</w:t>
            </w:r>
          </w:p>
        </w:tc>
        <w:tc>
          <w:tcPr>
            <w:tcW w:w="3559" w:type="dxa"/>
            <w:tcBorders>
              <w:top w:val="single" w:color="000000" w:sz="2" w:space="0"/>
              <w:left w:val="nil"/>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24"/>
                <w:szCs w:val="24"/>
                <w:lang w:val="en-US" w:eastAsia="zh-CN" w:bidi="ar"/>
                <w:woUserID w:val="1"/>
              </w:rPr>
              <w:t>单价</w:t>
            </w:r>
            <w:r>
              <w:rPr>
                <w:rFonts w:hint="default" w:ascii="Arial" w:hAnsi="Arial" w:eastAsia="Arial" w:cs="Arial"/>
                <w:b/>
                <w:i w:val="0"/>
                <w:snapToGrid w:val="0"/>
                <w:color w:val="000000"/>
                <w:kern w:val="0"/>
                <w:sz w:val="24"/>
                <w:szCs w:val="24"/>
                <w:lang w:val="en-US" w:eastAsia="zh-CN" w:bidi="ar"/>
                <w:woUserID w:val="1"/>
              </w:rPr>
              <w:t>（€</w:t>
            </w:r>
            <w:r>
              <w:rPr>
                <w:rFonts w:hint="default" w:ascii="Arial" w:hAnsi="Arial" w:eastAsia="宋体" w:cs="Arial"/>
                <w:b/>
                <w:i w:val="0"/>
                <w:snapToGrid w:val="0"/>
                <w:color w:val="000000"/>
                <w:kern w:val="0"/>
                <w:sz w:val="24"/>
                <w:szCs w:val="24"/>
                <w:lang w:val="en-US" w:eastAsia="zh-CN" w:bidi="ar"/>
                <w:woUserID w:val="1"/>
              </w:rPr>
              <w:t>/kg</w:t>
            </w:r>
            <w:r>
              <w:rPr>
                <w:rFonts w:hint="default" w:ascii="Arial" w:hAnsi="Arial" w:eastAsia="Arial" w:cs="Arial"/>
                <w:b/>
                <w:i w:val="0"/>
                <w:snapToGrid w:val="0"/>
                <w:color w:val="000000"/>
                <w:kern w:val="0"/>
                <w:sz w:val="24"/>
                <w:szCs w:val="24"/>
                <w:lang w:val="en-US" w:eastAsia="zh-CN" w:bidi="ar"/>
                <w:woUserID w:val="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4"/>
                <w:szCs w:val="24"/>
                <w:lang w:val="en-US" w:eastAsia="zh-CN" w:bidi="ar"/>
                <w:woUserID w:val="1"/>
              </w:rPr>
              <w:t>烟草滤头</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4"/>
                <w:szCs w:val="24"/>
                <w:lang w:val="en-US" w:eastAsia="zh-CN" w:bidi="ar"/>
                <w:woUserID w:val="1"/>
              </w:rPr>
              <w:t xml:space="preserve"> 8.972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4"/>
                <w:szCs w:val="24"/>
                <w:lang w:val="en-US" w:eastAsia="zh-CN" w:bidi="ar"/>
                <w:woUserID w:val="1"/>
              </w:rPr>
              <w:t>一次性饮料杯</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4"/>
                <w:szCs w:val="24"/>
                <w:lang w:val="en-US" w:eastAsia="zh-CN" w:bidi="ar"/>
                <w:woUserID w:val="1"/>
              </w:rPr>
              <w:t>1.236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一次性食品包装盒</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xml:space="preserve">0.177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塑料袋或塑料膜包装</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0.876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不可回收的饮料瓶</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xml:space="preserve"> 0.181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可回收的饮料瓶</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xml:space="preserve">0.001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轻塑料袋</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3.801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湿纸巾</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 xml:space="preserve"> 0.061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86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气球</w:t>
            </w:r>
          </w:p>
        </w:tc>
        <w:tc>
          <w:tcPr>
            <w:tcW w:w="355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4.340</w:t>
            </w:r>
          </w:p>
        </w:tc>
      </w:tr>
    </w:tbl>
    <w:p>
      <w:pPr>
        <w:numPr>
          <w:ilvl w:val="0"/>
          <w:numId w:val="0"/>
        </w:numPr>
        <w:tabs>
          <w:tab w:val="left" w:pos="0"/>
        </w:tabs>
        <w:spacing w:line="340" w:lineRule="auto"/>
        <w:ind w:leftChars="0"/>
        <w:jc w:val="left"/>
        <w:rPr>
          <w:rFonts w:hint="eastAsia" w:asciiTheme="minorEastAsia" w:hAnsiTheme="minorEastAsia" w:eastAsiaTheme="minorEastAsia" w:cstheme="minorEastAsia"/>
          <w:color w:val="000000"/>
          <w:sz w:val="24"/>
          <w:szCs w:val="24"/>
          <w:shd w:val="clear" w:fill="auto"/>
          <w:rtl w:val="0"/>
          <w:lang w:val="en-US" w:eastAsia="zh-CN"/>
        </w:rPr>
      </w:pPr>
    </w:p>
    <w:p>
      <w:pPr>
        <w:widowControl w:val="0"/>
        <w:kinsoku/>
        <w:autoSpaceDE/>
        <w:autoSpaceDN/>
        <w:adjustRightInd/>
        <w:snapToGrid/>
        <w:spacing w:line="240" w:lineRule="auto"/>
        <w:jc w:val="both"/>
        <w:textAlignment w:val="auto"/>
        <w:rPr>
          <w:rFonts w:hint="eastAsia" w:asciiTheme="minorHAnsi" w:hAnsiTheme="minorHAnsi" w:eastAsiaTheme="minorEastAsia" w:cstheme="minorBidi"/>
          <w:snapToGrid/>
          <w:kern w:val="2"/>
          <w:sz w:val="24"/>
          <w:szCs w:val="32"/>
          <w:rtl w:val="0"/>
          <w:lang w:val="en-US" w:eastAsia="zh-CN"/>
        </w:rPr>
      </w:pPr>
      <w:r>
        <w:rPr>
          <w:rFonts w:hint="eastAsia" w:asciiTheme="minorHAnsi" w:hAnsiTheme="minorHAnsi" w:eastAsiaTheme="minorEastAsia" w:cstheme="minorBidi"/>
          <w:snapToGrid/>
          <w:kern w:val="2"/>
          <w:sz w:val="24"/>
          <w:szCs w:val="32"/>
          <w:rtl w:val="0"/>
          <w:lang w:eastAsia="zh-CN"/>
        </w:rPr>
        <w:t>Germany Packaging Law (First registration - 1 brand + 1 year declaration, including 100kg paper + 10kg plastic recycling volume) The 2026 renewal package price is 60 Euros; for each additional brand added subsequently, Party A needs to pay an additional 15 Euros.</w:t>
      </w:r>
    </w:p>
    <w:tbl>
      <w:tblPr>
        <w:tblStyle w:val="14"/>
        <w:tblW w:w="8608" w:type="dxa"/>
        <w:tblInd w:w="147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659"/>
        <w:gridCol w:w="39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72" w:hRule="atLeast"/>
        </w:trPr>
        <w:tc>
          <w:tcPr>
            <w:tcW w:w="8608" w:type="dxa"/>
            <w:gridSpan w:val="2"/>
            <w:tcBorders>
              <w:top w:val="single" w:color="000000" w:sz="2" w:space="0"/>
              <w:left w:val="single" w:color="000000" w:sz="2" w:space="0"/>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313" w:afterLines="10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32"/>
                <w:szCs w:val="32"/>
                <w:lang w:val="en-US" w:eastAsia="zh-CN" w:bidi="ar"/>
                <w:woUserID w:val="1"/>
              </w:rPr>
              <w:t>德国包装法</w:t>
            </w:r>
            <w:r>
              <w:rPr>
                <w:rFonts w:hint="default" w:ascii="Arial" w:hAnsi="Arial" w:eastAsia="宋体" w:cs="Arial"/>
                <w:b/>
                <w:i w:val="0"/>
                <w:snapToGrid w:val="0"/>
                <w:color w:val="000000"/>
                <w:kern w:val="0"/>
                <w:sz w:val="32"/>
                <w:szCs w:val="32"/>
                <w:lang w:val="en-US" w:eastAsia="zh-CN" w:bidi="ar"/>
                <w:woUserID w:val="1"/>
              </w:rPr>
              <w:t xml:space="preserve"> </w:t>
            </w:r>
            <w:r>
              <w:rPr>
                <w:rFonts w:hint="eastAsia" w:ascii="宋体" w:hAnsi="宋体" w:eastAsia="宋体" w:cs="宋体"/>
                <w:b/>
                <w:i w:val="0"/>
                <w:snapToGrid w:val="0"/>
                <w:color w:val="000000"/>
                <w:kern w:val="0"/>
                <w:sz w:val="32"/>
                <w:szCs w:val="32"/>
                <w:lang w:val="en-US" w:eastAsia="zh-CN" w:bidi="ar"/>
                <w:woUserID w:val="1"/>
              </w:rPr>
              <w:t>实际回收费用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24"/>
                <w:szCs w:val="24"/>
                <w:lang w:val="en-US" w:eastAsia="zh-CN" w:bidi="ar"/>
                <w:woUserID w:val="1"/>
              </w:rPr>
              <w:t>包装材质</w:t>
            </w:r>
          </w:p>
        </w:tc>
        <w:tc>
          <w:tcPr>
            <w:tcW w:w="3949" w:type="dxa"/>
            <w:tcBorders>
              <w:top w:val="single" w:color="000000" w:sz="2" w:space="0"/>
              <w:left w:val="nil"/>
              <w:bottom w:val="single" w:color="000000" w:sz="2" w:space="0"/>
              <w:right w:val="single" w:color="000000" w:sz="2" w:space="0"/>
            </w:tcBorders>
            <w:shd w:val="clear" w:color="auto" w:fill="C7E4B3"/>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b/>
                <w:i w:val="0"/>
                <w:snapToGrid w:val="0"/>
                <w:color w:val="000000"/>
                <w:kern w:val="0"/>
                <w:sz w:val="24"/>
                <w:szCs w:val="24"/>
                <w:lang w:val="en-US" w:eastAsia="zh-CN" w:bidi="ar"/>
                <w:woUserID w:val="1"/>
              </w:rPr>
              <w:t>单价</w:t>
            </w:r>
            <w:r>
              <w:rPr>
                <w:rFonts w:hint="default" w:ascii="Arial" w:hAnsi="Arial" w:eastAsia="Arial" w:cs="Arial"/>
                <w:b/>
                <w:i w:val="0"/>
                <w:snapToGrid w:val="0"/>
                <w:color w:val="000000"/>
                <w:kern w:val="0"/>
                <w:sz w:val="24"/>
                <w:szCs w:val="24"/>
                <w:lang w:val="en-US" w:eastAsia="zh-CN" w:bidi="ar"/>
                <w:woUserID w:val="1"/>
              </w:rPr>
              <w:t>（€</w:t>
            </w:r>
            <w:r>
              <w:rPr>
                <w:rFonts w:hint="default" w:ascii="Arial" w:hAnsi="Arial" w:eastAsia="宋体" w:cs="Arial"/>
                <w:b/>
                <w:i w:val="0"/>
                <w:snapToGrid w:val="0"/>
                <w:color w:val="000000"/>
                <w:kern w:val="0"/>
                <w:sz w:val="24"/>
                <w:szCs w:val="24"/>
                <w:lang w:val="en-US" w:eastAsia="zh-CN" w:bidi="ar"/>
                <w:woUserID w:val="1"/>
              </w:rPr>
              <w:t>/kg</w:t>
            </w:r>
            <w:r>
              <w:rPr>
                <w:rFonts w:hint="default" w:ascii="Arial" w:hAnsi="Arial" w:eastAsia="Arial" w:cs="Arial"/>
                <w:b/>
                <w:i w:val="0"/>
                <w:snapToGrid w:val="0"/>
                <w:color w:val="000000"/>
                <w:kern w:val="0"/>
                <w:sz w:val="24"/>
                <w:szCs w:val="24"/>
                <w:lang w:val="en-US" w:eastAsia="zh-CN" w:bidi="ar"/>
                <w:woUserID w:val="1"/>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1"/>
                <w:szCs w:val="21"/>
                <w:lang w:val="en-US" w:eastAsia="zh-CN" w:bidi="ar"/>
                <w:woUserID w:val="1"/>
              </w:rPr>
              <w:t>玻璃</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1"/>
                <w:szCs w:val="21"/>
                <w:lang w:val="en-US" w:eastAsia="zh-CN" w:bidi="ar"/>
                <w:woUserID w:val="1"/>
              </w:rPr>
              <w:t>0.25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1"/>
                <w:szCs w:val="21"/>
                <w:lang w:val="en-US" w:eastAsia="zh-CN" w:bidi="ar"/>
                <w:woUserID w:val="1"/>
              </w:rPr>
              <w:t>纸张/纸板/纸箱</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1"/>
                <w:szCs w:val="21"/>
                <w:woUserID w:val="1"/>
              </w:rPr>
            </w:pPr>
            <w:r>
              <w:rPr>
                <w:rFonts w:hint="eastAsia" w:ascii="宋体" w:hAnsi="宋体" w:eastAsia="宋体" w:cs="宋体"/>
                <w:i w:val="0"/>
                <w:snapToGrid w:val="0"/>
                <w:color w:val="000000"/>
                <w:kern w:val="0"/>
                <w:sz w:val="21"/>
                <w:szCs w:val="21"/>
                <w:lang w:val="en-US" w:eastAsia="zh-CN" w:bidi="ar"/>
                <w:woUserID w:val="1"/>
              </w:rPr>
              <w:t>0.24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default" w:ascii="Arial" w:hAnsi="Arial" w:eastAsia="Arial" w:cs="Arial"/>
                <w:snapToGrid w:val="0"/>
                <w:color w:val="000000"/>
                <w:kern w:val="0"/>
                <w:sz w:val="21"/>
                <w:szCs w:val="21"/>
                <w:lang w:val="en-US" w:eastAsia="zh-CN" w:bidi="ar"/>
                <w:woUserID w:val="1"/>
              </w:rPr>
              <w:t>铁金属</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铝</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1.02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塑料</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1.21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饮料纸盒包装</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1.08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其他复合包装</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0.999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4659" w:type="dxa"/>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default" w:ascii="Arial" w:hAnsi="Arial" w:eastAsia="宋体" w:cs="Arial"/>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其他材料</w:t>
            </w:r>
          </w:p>
        </w:tc>
        <w:tc>
          <w:tcPr>
            <w:tcW w:w="3949" w:type="dxa"/>
            <w:tcBorders>
              <w:top w:val="single" w:color="000000" w:sz="2" w:space="0"/>
              <w:left w:val="nil"/>
              <w:bottom w:val="single" w:color="000000" w:sz="2" w:space="0"/>
              <w:right w:val="single" w:color="000000" w:sz="2" w:space="0"/>
            </w:tcBorders>
            <w:shd w:val="clear" w:color="auto" w:fill="auto"/>
            <w:noWrap/>
            <w:vAlign w:val="center"/>
          </w:tcPr>
          <w:p>
            <w:pPr>
              <w:keepNext w:val="0"/>
              <w:keepLines w:val="0"/>
              <w:widowControl/>
              <w:suppressLineNumbers w:val="0"/>
              <w:kinsoku w:val="0"/>
              <w:autoSpaceDE w:val="0"/>
              <w:autoSpaceDN/>
              <w:adjustRightInd w:val="0"/>
              <w:snapToGrid w:val="0"/>
              <w:spacing w:before="157" w:beforeLines="50" w:beforeAutospacing="0" w:after="219" w:afterLines="70" w:afterAutospacing="0"/>
              <w:ind w:left="0" w:right="0"/>
              <w:jc w:val="center"/>
              <w:textAlignment w:val="center"/>
              <w:rPr>
                <w:rFonts w:hint="eastAsia" w:ascii="宋体" w:hAnsi="宋体" w:eastAsia="宋体" w:cs="宋体"/>
                <w:i w:val="0"/>
                <w:color w:val="00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0.209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0" w:hRule="atLeast"/>
        </w:trPr>
        <w:tc>
          <w:tcPr>
            <w:tcW w:w="8608" w:type="dxa"/>
            <w:gridSpan w:val="2"/>
            <w:tcBorders>
              <w:top w:val="single" w:color="000000" w:sz="2" w:space="0"/>
              <w:left w:val="single" w:color="000000" w:sz="2" w:space="0"/>
              <w:bottom w:val="single" w:color="000000" w:sz="2" w:space="0"/>
              <w:right w:val="single" w:color="000000" w:sz="2" w:space="0"/>
            </w:tcBorders>
            <w:shd w:val="clear" w:color="auto" w:fill="auto"/>
            <w:noWrap/>
            <w:vAlign w:val="center"/>
          </w:tcPr>
          <w:p>
            <w:pPr>
              <w:keepNext w:val="0"/>
              <w:keepLines w:val="0"/>
              <w:widowControl/>
              <w:suppressLineNumbers w:val="0"/>
              <w:tabs>
                <w:tab w:val="left" w:pos="5359"/>
              </w:tabs>
              <w:kinsoku w:val="0"/>
              <w:autoSpaceDE w:val="0"/>
              <w:autoSpaceDN/>
              <w:adjustRightInd w:val="0"/>
              <w:snapToGrid w:val="0"/>
              <w:spacing w:before="157" w:beforeLines="50" w:beforeAutospacing="0" w:after="219" w:afterLines="70" w:afterAutospacing="0"/>
              <w:ind w:left="0" w:right="0"/>
              <w:jc w:val="left"/>
              <w:textAlignment w:val="center"/>
              <w:rPr>
                <w:rFonts w:hint="eastAsia" w:ascii="宋体" w:hAnsi="宋体" w:eastAsia="宋体" w:cs="宋体"/>
                <w:i w:val="0"/>
                <w:color w:val="FF0000"/>
                <w:kern w:val="0"/>
                <w:sz w:val="24"/>
                <w:szCs w:val="24"/>
                <w:woUserID w:val="1"/>
              </w:rPr>
            </w:pPr>
            <w:r>
              <w:rPr>
                <w:rFonts w:hint="eastAsia" w:ascii="宋体" w:hAnsi="宋体" w:eastAsia="宋体" w:cs="宋体"/>
                <w:i w:val="0"/>
                <w:snapToGrid w:val="0"/>
                <w:color w:val="000000"/>
                <w:kern w:val="0"/>
                <w:sz w:val="24"/>
                <w:szCs w:val="24"/>
                <w:lang w:val="en-US" w:eastAsia="zh-CN" w:bidi="ar"/>
                <w:woUserID w:val="1"/>
              </w:rPr>
              <w:t>其他材料包括木材和软木等天然材料、织物、瓷器、炻器和其他非铁或铝金属。</w:t>
            </w:r>
          </w:p>
        </w:tc>
      </w:tr>
    </w:tbl>
    <w:p>
      <w:pPr>
        <w:widowControl w:val="0"/>
        <w:numPr>
          <w:ilvl w:val="0"/>
          <w:numId w:val="0"/>
        </w:numPr>
        <w:kinsoku/>
        <w:autoSpaceDE/>
        <w:autoSpaceDN/>
        <w:adjustRightInd/>
        <w:snapToGrid/>
        <w:spacing w:line="240" w:lineRule="auto"/>
        <w:jc w:val="both"/>
        <w:textAlignment w:val="auto"/>
        <w:rPr>
          <w:rFonts w:hint="default" w:asciiTheme="minorHAnsi" w:hAnsiTheme="minorHAnsi" w:eastAsiaTheme="minorEastAsia" w:cstheme="minorBidi"/>
          <w:snapToGrid/>
          <w:kern w:val="2"/>
          <w:sz w:val="24"/>
          <w:szCs w:val="32"/>
          <w:rtl w:val="0"/>
          <w:lang w:val="en-US" w:eastAsia="zh-CN"/>
        </w:rPr>
      </w:pPr>
    </w:p>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r>
        <w:rPr>
          <w:rFonts w:hint="default" w:asciiTheme="minorHAnsi" w:hAnsiTheme="minorHAnsi" w:eastAsiaTheme="minorEastAsia" w:cstheme="minorBidi"/>
          <w:snapToGrid/>
          <w:kern w:val="2"/>
          <w:sz w:val="24"/>
          <w:szCs w:val="32"/>
          <w:rtl w:val="0"/>
          <w:lang w:eastAsia="zh-CN"/>
          <w:woUserID w:val="1"/>
        </w:rPr>
        <w:t>5.各项目注销费：</w:t>
      </w:r>
    </w:p>
    <w:tbl>
      <w:tblPr>
        <w:tblStyle w:val="15"/>
        <w:tblW w:w="9838" w:type="dxa"/>
        <w:tblInd w:w="6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3129"/>
        <w:gridCol w:w="3729"/>
        <w:gridCol w:w="2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6858" w:type="dxa"/>
            <w:gridSpan w:val="2"/>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注销项目</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注销价格（欧元）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vMerge w:val="restart"/>
            <w:tcBorders>
              <w:top w:val="nil"/>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德国WEEE</w:t>
            </w: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每个公司账户</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vMerge w:val="continue"/>
            <w:tcBorders>
              <w:top w:val="nil"/>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sz w:val="20"/>
                <w:szCs w:val="20"/>
                <w:woUserID w:val="1"/>
              </w:rPr>
            </w:pP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每个品类证书</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vMerge w:val="restart"/>
            <w:tcBorders>
              <w:top w:val="nil"/>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德国电池法</w:t>
            </w: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每个品牌证书</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vMerge w:val="continue"/>
            <w:tcBorders>
              <w:top w:val="nil"/>
              <w:left w:val="single" w:color="auto" w:sz="4" w:space="0"/>
              <w:bottom w:val="single" w:color="auto" w:sz="4" w:space="0"/>
              <w:right w:val="single" w:color="auto" w:sz="4" w:space="0"/>
            </w:tcBorders>
            <w:shd w:val="clear" w:color="auto" w:fill="auto"/>
            <w:vAlign w:val="top"/>
          </w:tcPr>
          <w:p>
            <w:pPr>
              <w:keepNext w:val="0"/>
              <w:keepLines w:val="0"/>
              <w:widowControl w:val="0"/>
              <w:suppressLineNumbers w:val="0"/>
              <w:spacing w:before="0" w:beforeAutospacing="0" w:after="0" w:afterAutospacing="0"/>
              <w:ind w:left="0" w:right="0"/>
              <w:jc w:val="both"/>
              <w:rPr>
                <w:rFonts w:hint="default" w:ascii="Times New Roman" w:hAnsi="Times New Roman" w:cs="Times New Roman"/>
                <w:sz w:val="20"/>
                <w:szCs w:val="20"/>
                <w:woUserID w:val="1"/>
              </w:rPr>
            </w:pP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额外品牌证书</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rightChars="0"/>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德国包装法</w:t>
            </w: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rightChars="0"/>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每家公司</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c>
          <w:tcPr>
            <w:tcW w:w="31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rightChars="0"/>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德国一次性塑料法</w:t>
            </w:r>
          </w:p>
        </w:tc>
        <w:tc>
          <w:tcPr>
            <w:tcW w:w="3729"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rightChars="0"/>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每家公司</w:t>
            </w:r>
          </w:p>
        </w:tc>
        <w:tc>
          <w:tcPr>
            <w:tcW w:w="2980" w:type="dxa"/>
            <w:tcBorders>
              <w:top w:val="single" w:color="auto" w:sz="4" w:space="0"/>
              <w:left w:val="single" w:color="auto" w:sz="4" w:space="0"/>
              <w:bottom w:val="single" w:color="auto" w:sz="4" w:space="0"/>
              <w:right w:val="single" w:color="auto" w:sz="4" w:space="0"/>
            </w:tcBorders>
            <w:shd w:val="clear" w:color="auto" w:fill="auto"/>
            <w:vAlign w:val="top"/>
          </w:tcPr>
          <w:p>
            <w:pPr>
              <w:pStyle w:val="12"/>
              <w:keepNext w:val="0"/>
              <w:keepLines w:val="0"/>
              <w:widowControl/>
              <w:suppressLineNumbers w:val="0"/>
              <w:kinsoku w:val="0"/>
              <w:autoSpaceDE w:val="0"/>
              <w:autoSpaceDN w:val="0"/>
              <w:adjustRightInd w:val="0"/>
              <w:snapToGrid w:val="0"/>
              <w:spacing w:before="260" w:beforeAutospacing="0" w:after="0" w:afterAutospacing="0"/>
              <w:ind w:left="0" w:right="57"/>
              <w:jc w:val="center"/>
              <w:textAlignment w:val="baseline"/>
              <w:rPr>
                <w:rFonts w:hint="eastAsia" w:ascii="宋体" w:hAnsi="宋体" w:eastAsia="宋体" w:cs="宋体"/>
                <w:color w:val="000000"/>
                <w:spacing w:val="8"/>
                <w:kern w:val="0"/>
                <w:sz w:val="24"/>
                <w:szCs w:val="24"/>
                <w:vertAlign w:val="baseline"/>
                <w:woUserID w:val="1"/>
              </w:rPr>
            </w:pPr>
            <w:r>
              <w:rPr>
                <w:rFonts w:hint="eastAsia" w:ascii="宋体" w:hAnsi="宋体" w:eastAsia="宋体" w:cs="宋体"/>
                <w:snapToGrid/>
                <w:color w:val="000000"/>
                <w:spacing w:val="8"/>
                <w:kern w:val="0"/>
                <w:sz w:val="24"/>
                <w:szCs w:val="24"/>
                <w:vertAlign w:val="baseline"/>
                <w:lang w:val="en-US" w:eastAsia="zh-CN" w:bidi="ar"/>
                <w:woUserID w:val="1"/>
              </w:rPr>
              <w:t>无</w:t>
            </w:r>
          </w:p>
        </w:tc>
      </w:tr>
    </w:tbl>
    <w:p>
      <w:pPr>
        <w:widowControl w:val="0"/>
        <w:numPr>
          <w:ilvl w:val="0"/>
          <w:numId w:val="0"/>
        </w:numPr>
        <w:kinsoku/>
        <w:autoSpaceDE/>
        <w:autoSpaceDN/>
        <w:adjustRightInd/>
        <w:snapToGrid/>
        <w:spacing w:line="240" w:lineRule="auto"/>
        <w:ind w:leftChars="0"/>
        <w:jc w:val="both"/>
        <w:textAlignment w:val="auto"/>
        <w:rPr>
          <w:rFonts w:hint="default" w:asciiTheme="minorHAnsi" w:hAnsiTheme="minorHAnsi" w:eastAsiaTheme="minorEastAsia" w:cstheme="minorBidi"/>
          <w:snapToGrid/>
          <w:kern w:val="2"/>
          <w:sz w:val="24"/>
          <w:szCs w:val="32"/>
          <w:rtl w:val="0"/>
          <w:lang w:eastAsia="zh-CN"/>
          <w:woUserID w:val="1"/>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46" w:after="0" w:line="300" w:lineRule="auto"/>
        <w:ind w:right="2" w:firstLine="190" w:firstLineChars="100"/>
        <w:jc w:val="left"/>
        <w:textAlignment w:val="baseline"/>
        <w:rPr>
          <w:rStyle w:val="17"/>
          <w:rFonts w:ascii="Segoe UI" w:hAnsi="Segoe UI" w:eastAsia="Segoe UI" w:cs="Segoe UI"/>
          <w:b/>
          <w:bCs/>
          <w:i w:val="0"/>
          <w:iCs w:val="0"/>
          <w:caps w:val="0"/>
          <w:color w:val="0F1115"/>
          <w:spacing w:val="0"/>
          <w:sz w:val="19"/>
          <w:szCs w:val="19"/>
          <w:shd w:val="clear" w:fill="FFFFFF"/>
        </w:rPr>
      </w:pPr>
      <w:r>
        <w:rPr>
          <w:rStyle w:val="17"/>
          <w:rFonts w:ascii="Segoe UI" w:hAnsi="Segoe UI" w:eastAsia="Segoe UI" w:cs="Segoe UI"/>
          <w:b/>
          <w:bCs/>
          <w:i w:val="0"/>
          <w:iCs w:val="0"/>
          <w:caps w:val="0"/>
          <w:color w:val="0F1115"/>
          <w:spacing w:val="0"/>
          <w:sz w:val="19"/>
          <w:szCs w:val="19"/>
          <w:shd w:val="clear" w:fill="FFFFFF"/>
        </w:rPr>
        <w:t>Annex II: EPR Quotation for Countries Other Than Germany</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kinsoku w:val="0"/>
        <w:wordWrap/>
        <w:overflowPunct/>
        <w:topLinePunct w:val="0"/>
        <w:autoSpaceDE w:val="0"/>
        <w:autoSpaceDN w:val="0"/>
        <w:bidi w:val="0"/>
        <w:adjustRightInd w:val="0"/>
        <w:snapToGrid w:val="0"/>
        <w:spacing w:before="200" w:after="0" w:line="360" w:lineRule="auto"/>
        <w:ind w:right="709" w:firstLine="480" w:firstLineChars="200"/>
        <w:jc w:val="left"/>
        <w:textAlignment w:val="baseline"/>
        <w:rPr>
          <w:rFonts w:hint="eastAsia" w:asciiTheme="minorEastAsia" w:hAnsiTheme="minorEastAsia" w:eastAsiaTheme="minorEastAsia" w:cstheme="minorEastAsia"/>
          <w:b w:val="0"/>
          <w:i w:val="0"/>
          <w:smallCaps w:val="0"/>
          <w:strike w:val="0"/>
          <w:color w:val="000000"/>
          <w:sz w:val="24"/>
          <w:szCs w:val="24"/>
          <w:u w:val="none"/>
          <w:shd w:val="clear" w:fill="auto"/>
          <w:vertAlign w:val="baseline"/>
          <w:rtl w:val="0"/>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46" w:after="0" w:line="220" w:lineRule="auto"/>
        <w:ind w:right="0"/>
        <w:jc w:val="left"/>
        <w:rPr>
          <w:rFonts w:ascii="Calibri" w:hAnsi="Calibri" w:eastAsia="Calibri" w:cs="Calibri"/>
          <w:color w:val="000000"/>
          <w:sz w:val="24"/>
          <w:szCs w:val="24"/>
          <w:shd w:val="clear" w:fill="auto"/>
        </w:rPr>
        <w:sectPr>
          <w:headerReference r:id="rId3" w:type="default"/>
          <w:footerReference r:id="rId4" w:type="default"/>
          <w:pgSz w:w="12220" w:h="17060"/>
          <w:pgMar w:top="720" w:right="624" w:bottom="720" w:left="624" w:header="0" w:footer="0" w:gutter="0"/>
          <w:pgNumType w:fmt="numberInDash" w:start="1"/>
          <w:cols w:space="720" w:num="1"/>
        </w:sectPr>
      </w:pPr>
    </w:p>
    <w:p/>
    <w:p>
      <w:pPr>
        <w:sectPr>
          <w:type w:val="continuous"/>
          <w:pgSz w:w="12220" w:h="17060"/>
          <w:pgMar w:top="1313" w:right="1265" w:bottom="0" w:left="1764" w:header="0" w:footer="0" w:gutter="0"/>
          <w:pgNumType w:fmt="numberInDash"/>
          <w:cols w:equalWidth="0" w:num="2">
            <w:col w:w="4545" w:space="100"/>
            <w:col w:w="4545"/>
          </w:cols>
        </w:sectPr>
      </w:pPr>
    </w:p>
    <w:p>
      <w:r>
        <w:rPr>
          <w:rFonts w:ascii="Times New Roman" w:hAnsi="Times New Roman" w:eastAsia="宋体" w:cs="Times New Roman"/>
          <w:b/>
          <w:sz w:val="28"/>
        </w:rPr>
        <w:t>专项补充协议</w:t>
      </w:r>
    </w:p>
    <w:p>
      <w:r>
        <w:rPr>
          <w:rFonts w:ascii="Times New Roman" w:hAnsi="Times New Roman" w:eastAsia="宋体" w:cs="Times New Roman"/>
          <w:b/>
          <w:color w:val="C00000"/>
          <w:sz w:val="24"/>
        </w:rPr>
        <w:t>1、Battery Reporting, Fees and Contract Termination</w:t>
      </w:r>
    </w:p>
    <w:p>
      <w:r>
        <w:rPr>
          <w:rFonts w:ascii="Times New Roman" w:hAnsi="Times New Roman" w:eastAsia="宋体" w:cs="Times New Roman"/>
          <w:b w:val="0"/>
          <w:color w:val="C00000"/>
          <w:sz w:val="24"/>
        </w:rPr>
        <w:t>Party A shall report to Party B the quantities of batteries placed on the Danish market at the intervals and by the deadlines applicable to all members, and shall, upon Party B's request, promptly prove the accuracy of the reported quantities by conclusive means such as invoices and excerpts from sales reports, and shall allow Party B or external representatives designated by it to inspect the relevant business documents at Party A's premises at any time without prior notice. If Party A intends to place batteries on the market outside the registered scope, it shall notify Party B by email at least three weeks in advance and shall at the same time inform Party B of the estimated first-year placement quantities and the information that Party B considers necessary for compliance. Party A shall comply with the financial guarantee requirements imposed by the Danish authorities or the service provider pursuant to battery legislation, and shall ensure that the guarantee is issued in accordance with the relevant regulatory standards and remains valid for the period required by the authorities. Party A shall pay Party B the same payments as other members of the service provider, including the annual membership fee, statutory contributions covering the operational costs of battery treatment, and registration fees and administrative fees set by the authorities; and shall reimburse Party B, against invoice, for all costs incurred by Party B in assuming the role of authorized representative, including auditor assurance and report verification costs, and Party B shall have the right to charge interim fees to cover the aforesaid costs. If Party A fails to submit the information or documents described in this agreement, Party B shall have the right to charge at the then-effective rate for the hours spent collecting such information, which rate at the time of signing is a minimum of EUR 130 per hour or part thereof. Either party may terminate this agreement with the notice period applicable to withdrawal from the service provider, which notice period is currently 24 months, expiring at the end of the remaining calendar year; notice of termination must be given in writing by post and email. If Party A fails to perform this agreement, Party B shall have the right to cancel this agreement without notice, and such cancellation shall simultaneously result in Party A's expulsion from the service provider</w:t>
      </w:r>
    </w:p>
    <w:p/>
    <w:sectPr>
      <w:pgSz w:w="12240" w:h="15840"/>
      <w:pgMar w:top="1440" w:right="1800" w:bottom="1440" w:left="1800" w:header="0" w:footer="0" w:gutter="0"/>
      <w:pgNumType w:fmt="numberInDash"/>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altName w:val="Kingsoft Confetti"/>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Kingsoft Confetti">
    <w:panose1 w:val="05000100010000000000"/>
    <w:charset w:val="00"/>
    <w:family w:val="auto"/>
    <w:pitch w:val="default"/>
    <w:sig w:usb0="00000000" w:usb1="00000000" w:usb2="00000000" w:usb3="00000000" w:csb0="8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Georgia">
    <w:panose1 w:val="02040502050405020303"/>
    <w:charset w:val="00"/>
    <w:family w:val="auto"/>
    <w:pitch w:val="default"/>
    <w:sig w:usb0="00000287" w:usb1="00000000" w:usb2="00000000" w:usb3="00000000" w:csb0="2000009F" w:csb1="00000000"/>
  </w:font>
  <w:font w:name="Segoe UI">
    <w:altName w:val="Arial"/>
    <w:panose1 w:val="020B0502040204020203"/>
    <w:charset w:val="00"/>
    <w:family w:val="auto"/>
    <w:pitch w:val="default"/>
    <w:sig w:usb0="00000000" w:usb1="00000000" w:usb2="00000009" w:usb3="00000000" w:csb0="200001FF" w:csb1="00000000"/>
  </w:font>
  <w:font w:name="Arial Unicode MS">
    <w:altName w:val="Arial"/>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汉仪君黑KW">
    <w:panose1 w:val="00020600040101010101"/>
    <w:charset w:val="86"/>
    <w:family w:val="auto"/>
    <w:pitch w:val="default"/>
    <w:sig w:usb0="A00002BF" w:usb1="0A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153"/>
        <w:tab w:val="right" w:pos="8306"/>
      </w:tabs>
      <w:spacing w:before="0" w:after="0" w:line="240" w:lineRule="auto"/>
      <w:ind w:left="0" w:right="0" w:firstLine="0"/>
      <w:jc w:val="left"/>
      <w:rPr>
        <w:rFonts w:ascii="Arial" w:hAnsi="Arial" w:eastAsia="Arial" w:cs="Arial"/>
        <w:b w:val="0"/>
        <w:i w:val="0"/>
        <w:smallCaps w:val="0"/>
        <w:strike w:val="0"/>
        <w:color w:val="000000"/>
        <w:sz w:val="18"/>
        <w:szCs w:val="18"/>
        <w:u w:val="none"/>
        <w:shd w:val="clear" w:fill="auto"/>
        <w:vertAlign w:val="baseline"/>
      </w:rPr>
    </w:pPr>
    <w:r>
      <w:rPr>
        <w:sz w:val="18"/>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R1yZaEwIAABMEAAAOAAAAZHJz&#10;L2Uyb0RvYy54bWytU8uO0zAU3SPxD5b3NGkRVVU1HZUZFSFVzEgFsXYdp4nkl2y3SfkA+ANWbNjz&#10;Xf0Ojp2mg5hZITbOje/znHu8uOmUJEfhfGN0QcejnBKhuSkbvS/op4/rVzNKfGC6ZNJoUdCT8PRm&#10;+fLForVzMTG1kaVwBEW0n7e2oHUIdp5lntdCMT8yVmg4K+MUC/h1+6x0rEV1JbNJnk+z1rjSOsOF&#10;97i96510mepXleDhvqq8CEQWFLOFdLp07uKZLRdsvnfM1g2/jMH+YQrFGo2m11J3LDBycM2TUqrh&#10;znhThRE3KjNV1XCRMADNOP8LzbZmViQsIMfbK03+/5XlH44PjjRlQaeUaKawovP3b+cfv84/v5Jp&#10;pKe1fo6orUVc6N6aDmse7j0uI+qucip+gYfAD6JPV3JFFwiPSbPJbJbDxeEbflA/e0y3zod3wigS&#10;jYI6bC+Ryo4bH/rQISR202bdSJk2KDVpAeH1mzwlXD0oLjV6RBD9sNEK3a67INuZ8gRgzvTK8Jav&#10;GzTfMB8emIMUMDDkHe5xVNKgiblYlNTGfXnuPsZjQ/BS0kJaBdXQPiXyvcbmogoHww3GbjD0Qd0a&#10;aHWMZ2N5MpHgghzMyhn1GZpfxR5wMc3RqaBhMG9DL2+8GS5WqxR0sK7Z130CdGdZ2Oit5bFNJNLb&#10;1SGAzMRxJKhn5cIblJe2dHklUdp//qeox7e8/A1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WAAAAZHJzL1BLAQIUABQAAAAIAIdO4kCzSVju&#10;0AAAAAUBAAAPAAAAAAAAAAEAIAAAADgAAABkcnMvZG93bnJldi54bWxQSwECFAAUAAAACACHTuJA&#10;EdcmWhMCAAATBAAADgAAAAAAAAABACAAAAA1AQAAZHJzL2Uyb0RvYy54bWxQSwUGAAAAAAYABgBZ&#10;AQAAug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r>
      <w:rPr>
        <w:rFonts w:ascii="Arial Unicode MS" w:hAnsi="Arial Unicode MS" w:eastAsia="Arial Unicode MS" w:cs="Arial Unicode MS"/>
        <w:b w:val="0"/>
        <w:i w:val="0"/>
        <w:smallCaps w:val="0"/>
        <w:strike w:val="0"/>
        <w:color w:val="000000"/>
        <w:sz w:val="18"/>
        <w:szCs w:val="18"/>
        <w:u w:val="none"/>
        <w:shd w:val="clear" w:fill="auto"/>
        <w:vertAlign w:val="baseline"/>
        <w:rtl w:val="0"/>
      </w:rPr>
      <w:t xml:space="preserve">                        以上一切内容均属机密，不得揭露、复制、散布本</w:t>
    </w:r>
    <w:r>
      <w:rPr>
        <w:rFonts w:hint="eastAsia" w:ascii="Arial Unicode MS" w:hAnsi="Arial Unicode MS" w:eastAsia="宋体" w:cs="Arial Unicode MS"/>
        <w:b w:val="0"/>
        <w:i w:val="0"/>
        <w:smallCaps w:val="0"/>
        <w:strike w:val="0"/>
        <w:color w:val="000000"/>
        <w:sz w:val="18"/>
        <w:szCs w:val="18"/>
        <w:u w:val="none"/>
        <w:shd w:val="clear" w:fill="auto"/>
        <w:vertAlign w:val="baseline"/>
        <w:rtl w:val="0"/>
        <w:lang w:val="en-US" w:eastAsia="zh-CN"/>
      </w:rPr>
      <w:t>合同</w:t>
    </w:r>
    <w:r>
      <w:rPr>
        <w:rFonts w:ascii="Arial Unicode MS" w:hAnsi="Arial Unicode MS" w:eastAsia="Arial Unicode MS" w:cs="Arial Unicode MS"/>
        <w:b w:val="0"/>
        <w:i w:val="0"/>
        <w:smallCaps w:val="0"/>
        <w:strike w:val="0"/>
        <w:color w:val="000000"/>
        <w:sz w:val="18"/>
        <w:szCs w:val="18"/>
        <w:u w:val="none"/>
        <w:shd w:val="clear" w:fill="auto"/>
        <w:vertAlign w:val="baseline"/>
        <w:rtl w:val="0"/>
      </w:rPr>
      <w:t>内容。</w:t>
    </w:r>
  </w:p>
  <w:p>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520" w:firstLineChars="1600"/>
      <w:rPr>
        <w:rFonts w:hint="eastAsia" w:eastAsia="宋体" w:cs="Times New Roman" w:asciiTheme="minorAscii" w:hAnsiTheme="minorAscii"/>
        <w:b w:val="0"/>
        <w:i w:val="0"/>
        <w:smallCaps w:val="0"/>
        <w:strike w:val="0"/>
        <w:color w:val="000000"/>
        <w:sz w:val="18"/>
        <w:szCs w:val="18"/>
        <w:u w:val="none"/>
        <w:shd w:val="clear" w:fill="auto"/>
        <w:vertAlign w:val="baseline"/>
        <w:rtl w:val="0"/>
        <w:lang w:val="en-US" w:eastAsia="zh-CN"/>
      </w:rPr>
    </w:pPr>
    <w:r>
      <w:rPr>
        <w:rFonts w:ascii="宋体" w:hAnsi="宋体" w:eastAsia="宋体" w:cs="宋体"/>
        <w:b w:val="0"/>
        <w:i w:val="0"/>
        <w:smallCaps w:val="0"/>
        <w:strike w:val="0"/>
        <w:color w:val="000000"/>
        <w:sz w:val="22"/>
        <w:szCs w:val="22"/>
        <w:u w:val="none"/>
        <w:shd w:val="clear" w:fill="auto"/>
        <w:vertAlign w:val="baseline"/>
      </w:rPr>
      <mc:AlternateContent>
        <mc:Choice Requires="wps">
          <w:drawing>
            <wp:anchor distT="0" distB="0" distL="114300" distR="114300" simplePos="0" relativeHeight="251660288" behindDoc="0" locked="0" layoutInCell="1" allowOverlap="1">
              <wp:simplePos x="0" y="0"/>
              <wp:positionH relativeFrom="page">
                <wp:posOffset>589915</wp:posOffset>
              </wp:positionH>
              <wp:positionV relativeFrom="page">
                <wp:posOffset>356870</wp:posOffset>
              </wp:positionV>
              <wp:extent cx="9525" cy="12700"/>
              <wp:effectExtent l="0" t="0" r="0" b="0"/>
              <wp:wrapNone/>
              <wp:docPr id="2" name="任意多边形 7"/>
              <wp:cNvGraphicFramePr/>
              <a:graphic xmlns:a="http://schemas.openxmlformats.org/drawingml/2006/main">
                <a:graphicData uri="http://schemas.microsoft.com/office/word/2010/wordprocessingShape">
                  <wps:wsp>
                    <wps:cNvSpPr/>
                    <wps:spPr>
                      <a:xfrm>
                        <a:off x="2145600" y="3775238"/>
                        <a:ext cx="6400800" cy="9525"/>
                      </a:xfrm>
                      <a:custGeom>
                        <a:avLst/>
                        <a:gdLst/>
                        <a:ahLst/>
                        <a:cxnLst/>
                        <a:rect l="l" t="t" r="r" b="b"/>
                        <a:pathLst>
                          <a:path w="6400800" h="9525" extrusionOk="0">
                            <a:moveTo>
                              <a:pt x="0" y="0"/>
                            </a:moveTo>
                            <a:lnTo>
                              <a:pt x="6400800" y="0"/>
                            </a:lnTo>
                            <a:lnTo>
                              <a:pt x="6400800" y="8890"/>
                            </a:lnTo>
                            <a:lnTo>
                              <a:pt x="0" y="8890"/>
                            </a:lnTo>
                            <a:lnTo>
                              <a:pt x="0"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w:pict>
            <v:shape id="_x0000_s1026" o:spid="_x0000_s1026" o:spt="100" style="position:absolute;left:0pt;margin-left:46.45pt;margin-top:28.1pt;height:1pt;width:0.75pt;mso-position-horizontal-relative:page;mso-position-vertical-relative:page;z-index:251660288;v-text-anchor:middle;mso-width-relative:page;mso-height-relative:page;" fillcolor="#000000" filled="t" stroked="f" coordsize="6400800,9525" o:gfxdata="UEsFBgAAAAAAAAAAAAAAAAAAAAAAAFBLAwQKAAAAAACHTuJAAAAAAAAAAAAAAAAABAAAAGRycy9Q&#10;SwMEFAAAAAgAh07iQLnsYLvXAAAABwEAAA8AAABkcnMvZG93bnJldi54bWxNjsFuwjAQRO+V+Adr&#10;kXorDhEgEuIghFq16gG1pAeOJl6SKPE6ik2gf9/tqT2OZvTmZdu77cSIg28cKZjPIhBIpTMNVQq+&#10;ipenNQgfNBndOUIF3+hhm08eMp0ad6NPHI+hEgwhn2oFdQh9KqUva7Taz1yPxN3FDVYHjkMlzaBv&#10;DLedjKNoJa1uiB9q3eO+xrI9Xq2C3eHVnrA92eL9UIxmKdu3j/FZqcfpPNqACHgPf2P41Wd1yNnp&#10;7K5kvOgUJHHCSwXLVQyC+2SxAHHmvI5B5pn875//AFBLAwQUAAAACACHTuJAEIKM1VcCAAD5BAAA&#10;DgAAAGRycy9lMm9Eb2MueG1srVTNjtMwEL4j8Q6W7zRpt/9qukK7KkJasZV2eQDXcRoLxza223Tv&#10;3LlzRLwEWsHTsIjHYGwnbVgkhBA5ODPx5/F838xkcX6oBNozY7mSGe73UoyYpCrncpvh17erZ1OM&#10;rCMyJ0JJluE7ZvH58umTRa3nbKBKJXJmEASRdl7rDJfO6XmSWFqyitie0kzCZqFMRRy4ZpvkhtQQ&#10;vRLJIE3HSa1Mro2izFr4ehk38TLELwpG3XVRWOaQyDDk5sJqwrrxa7JckPnWEF1y2qRB/iGLinAJ&#10;lx5DXRJH0M7w30JVnBplVeF6VFWJKgpOWeAAbPrpIzY3JdEscAFxrD7KZP9fWPpqvzaI5xmeYCRJ&#10;BSX6dn///d37h08ffnz9/PDlI5p4kWpt54C90WvTeBZMz/hQmMq/gQs6ZHjQH47GKUh9l+GzyWQ0&#10;OJtGkdnBIQqA8TBNpx5AATEbDUZ+OznFoTvrXjAVYpL9lXWxRHlrkbK16EG2poFC+xKLUGKHEZTY&#10;YAQl3sTbNXH+nE/Um6juJFI2eSBI0ex8J1+/8b3hwZXas1sVjjlPLxILfQM5n3aF7KKOHIFii20R&#10;7VuHeF3kdDr7Mzhe/pewx6GoUJZFqb0CQfOjKsClq7tVgucrLoQnbs12cyEM2hM/Q+FpSvYLTEgP&#10;lsofi9f4L4lvnNgq3tqo/A76zWq64sa6K2LdmhiYuD5GNUxhhu3bHTEMI/FSQpvP+kNoEOS6juk6&#10;m65DJC0VVJ46qH10Lhz4sZRSPd85VXDfUCGtmEzjwHwFSZp/gR/grh9Qpz/W8i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WAAAAZHJzL1BL&#10;AQIUABQAAAAIAIdO4kC57GC71wAAAAcBAAAPAAAAAAAAAAEAIAAAADgAAABkcnMvZG93bnJldi54&#10;bWxQSwECFAAUAAAACACHTuJAEIKM1VcCAAD5BAAADgAAAAAAAAABACAAAAA8AQAAZHJzL2Uyb0Rv&#10;Yy54bWxQSwUGAAAAAAYABgBZAQAABQYAAAAA&#10;" path="m0,0l6400800,0,6400800,8890,0,8890,0,0xe">
              <v:fill on="t" focussize="0,0"/>
              <v:stroke on="f"/>
              <v:imagedata o:title=""/>
              <o:lock v:ext="edit" aspectratio="f"/>
              <v:textbox inset="7.1988188976378pt,7.1988188976378pt,7.1988188976378pt,7.1988188976378pt"/>
            </v:shape>
          </w:pict>
        </mc:Fallback>
      </mc:AlternateContent>
    </w:r>
    <w:r>
      <w:rPr>
        <w:rFonts w:hint="eastAsia" w:eastAsia="宋体"/>
        <w:position w:val="-7"/>
        <w:lang w:val="en-US" w:eastAsia="zh-CN"/>
      </w:rPr>
      <w:t xml:space="preserve">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19" w:lineRule="auto"/>
      <w:ind w:right="0"/>
      <w:jc w:val="left"/>
      <w:rPr>
        <w:rFonts w:hint="default" w:ascii="宋体" w:hAnsi="宋体" w:eastAsia="宋体" w:cs="宋体"/>
        <w:b w:val="0"/>
        <w:i w:val="0"/>
        <w:smallCaps w:val="0"/>
        <w:strike w:val="0"/>
        <w:color w:val="000000"/>
        <w:sz w:val="20"/>
        <w:szCs w:val="20"/>
        <w:u w:val="none"/>
        <w:shd w:val="clear" w:fill="auto"/>
        <w:vertAlign w:val="baseline"/>
        <w:rtl w:val="0"/>
        <w:lang w:val="en-US" w:eastAsia="zh-CN"/>
      </w:rPr>
    </w:pPr>
    <w:r>
      <mc:AlternateContent>
        <mc:Choice Requires="wps">
          <w:drawing>
            <wp:anchor distT="0" distB="0" distL="114300" distR="114300" simplePos="0" relativeHeight="251659264" behindDoc="0" locked="0" layoutInCell="0" allowOverlap="1">
              <wp:simplePos x="0" y="0"/>
              <wp:positionH relativeFrom="page">
                <wp:posOffset>753745</wp:posOffset>
              </wp:positionH>
              <wp:positionV relativeFrom="page">
                <wp:posOffset>666115</wp:posOffset>
              </wp:positionV>
              <wp:extent cx="6400800" cy="9525"/>
              <wp:effectExtent l="0" t="0" r="0" b="0"/>
              <wp:wrapNone/>
              <wp:docPr id="3" name="任意多边形 1"/>
              <wp:cNvGraphicFramePr/>
              <a:graphic xmlns:a="http://schemas.openxmlformats.org/drawingml/2006/main">
                <a:graphicData uri="http://schemas.microsoft.com/office/word/2010/wordprocessingShape">
                  <wps:wsp>
                    <wps:cNvSpPr/>
                    <wps:spPr>
                      <a:xfrm>
                        <a:off x="0" y="0"/>
                        <a:ext cx="6400800" cy="9525"/>
                      </a:xfrm>
                      <a:custGeom>
                        <a:avLst/>
                        <a:gdLst/>
                        <a:ahLst/>
                        <a:cxnLst/>
                        <a:pathLst>
                          <a:path w="10080" h="15">
                            <a:moveTo>
                              <a:pt x="0" y="0"/>
                            </a:moveTo>
                            <a:lnTo>
                              <a:pt x="10080" y="0"/>
                            </a:lnTo>
                            <a:lnTo>
                              <a:pt x="1008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59.35pt;margin-top:52.45pt;height:0.75pt;width:504pt;mso-position-horizontal-relative:page;mso-position-vertical-relative:page;z-index:251659264;mso-width-relative:page;mso-height-relative:page;" fillcolor="#000000" filled="t" stroked="f" coordsize="10080,15" o:allowincell="f" o:gfxdata="UEsFBgAAAAAAAAAAAAAAAAAAAAAAAFBLAwQKAAAAAACHTuJAAAAAAAAAAAAAAAAABAAAAGRycy9Q&#10;SwMEFAAAAAgAh07iQBGnRQXZAAAADAEAAA8AAABkcnMvZG93bnJldi54bWxNj09LxDAQxe+C3yGM&#10;4EXcpGWpa226B0VQUFirF2/ZZkyqTVKS7B/99E5Pepv35vHmN8366Ea2x5iG4CUUCwEMfR/04I2E&#10;t9f7yxWwlJXXagweJXxjgnV7etKoWoeDf8F9lw2jEp9qJcHmPNWcp96iU2kRJvS0+wjRqUwyGq6j&#10;OlC5G3kpRMWdGjxdsGrCW4v9V7dzEh5t9dxHYzfvBh9id/H0Y+/KTynPzwpxAyzjMf+FYcYndGiJ&#10;aRt2Xic2ki5WVxSlQSyvgc2JoqzI2s5WtQTeNvz/E+0vUEsDBBQAAAAIAIdO4kB5y/5S9AEAADAE&#10;AAAOAAAAZHJzL2Uyb0RvYy54bWytU8GO0zAQvSPxD5bvNGm1XS1R0z2wWi4IVtrlA1zHaSzZHst2&#10;k/TOnTtHxE+gFXwNu+IzGDtJW5YLQuRgjz0vb+bNjFeXvVakFc5LMCWdz3JKhOFQSbMt6fu76xcX&#10;lPjATMUUGFHSvfD0cv382aqzhVhAA6oSjiCJ8UVnS9qEYIss87wRmvkZWGHQWYPTLODRbbPKsQ7Z&#10;tcoWeX6edeAq64AL7/H2anDSdeKva8HDu7r2IhBVUswtpNWldRPXbL1ixdYx20g+psH+IQvNpMGg&#10;B6orFhjZOfkHlZbcgYc6zDjoDOpacpE0oJp5/kTNbcOsSFqwON4eyuT/Hy1/2944IivsHSWGaWzR&#10;j/v7xw8fH758+vn968O3z2Qei9RZXyD21t648eTRjIr72um4oxbSp8LuD4UVfSAcL8/P8vwix/pz&#10;9L1cLpaRMjv+y3c+vBaQeFj7xoehLdVksWayeG8m07IQr2PsaJIONcQwlDRoLVM7NLTiDhIkPMkO&#10;wx+9ypyiRppJByIn/7TbxHbEzc9GRRNg2gcg5oRkfwVKI3kSkSvwYqhWVJnKdlCOuNPSeVCyupZK&#10;RcHebTevlCMti6OfvjHH32DKRLCB+NsQJt5ksd9Dh6O1gWqPY7KzTm4bfENpJBIGxzKlND6hOPen&#10;58R0fOjrX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BYAAABkcnMvUEsBAhQAFAAAAAgAh07iQBGnRQXZAAAADAEAAA8AAAAAAAAAAQAgAAAA&#10;OAAAAGRycy9kb3ducmV2LnhtbFBLAQIUABQAAAAIAIdO4kB5y/5S9AEAADAEAAAOAAAAAAAAAAEA&#10;IAAAAD4BAABkcnMvZTJvRG9jLnhtbFBLBQYAAAAABgAGAFkBAACkBQAAAAA=&#10;" path="m0,0l10080,0,10080,14,0,14,0,0xe">
              <v:fill on="t" focussize="0,0"/>
              <v:stroke on="f"/>
              <v:imagedata o:title=""/>
              <o:lock v:ext="edit" aspectratio="f"/>
            </v:shape>
          </w:pict>
        </mc:Fallback>
      </mc:AlternateContent>
    </w:r>
    <w:r>
      <w:drawing>
        <wp:inline distT="0" distB="0" distL="114300" distR="114300">
          <wp:extent cx="1664335" cy="495935"/>
          <wp:effectExtent l="0" t="0" r="12065" b="0"/>
          <wp:docPr id="4" name="图片 5" descr="e681bba019cfe11ba4b2d3f09bf186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e681bba019cfe11ba4b2d3f09bf186c2"/>
                  <pic:cNvPicPr>
                    <a:picLocks noChangeAspect="1"/>
                  </pic:cNvPicPr>
                </pic:nvPicPr>
                <pic:blipFill>
                  <a:blip r:embed="rId1"/>
                  <a:stretch>
                    <a:fillRect/>
                  </a:stretch>
                </pic:blipFill>
                <pic:spPr>
                  <a:xfrm>
                    <a:off x="0" y="0"/>
                    <a:ext cx="1664335" cy="495935"/>
                  </a:xfrm>
                  <a:prstGeom prst="rect">
                    <a:avLst/>
                  </a:prstGeom>
                </pic:spPr>
              </pic:pic>
            </a:graphicData>
          </a:graphic>
        </wp:inline>
      </w:drawing>
    </w:r>
    <w:r>
      <w:rPr>
        <w:rFonts w:ascii="宋体" w:hAnsi="宋体" w:eastAsia="宋体" w:cs="宋体"/>
        <w:b w:val="0"/>
        <w:i w:val="0"/>
        <w:smallCaps w:val="0"/>
        <w:strike w:val="0"/>
        <w:color w:val="000000"/>
        <w:sz w:val="22"/>
        <w:szCs w:val="22"/>
        <w:u w:val="none"/>
        <w:shd w:val="clear" w:fill="auto"/>
        <w:vertAlign w:val="baseline"/>
      </w:rPr>
      <mc:AlternateContent>
        <mc:Choice Requires="wps">
          <w:drawing>
            <wp:anchor distT="0" distB="0" distL="114300" distR="114300" simplePos="0" relativeHeight="251661312" behindDoc="0" locked="0" layoutInCell="1" allowOverlap="1">
              <wp:simplePos x="0" y="0"/>
              <wp:positionH relativeFrom="page">
                <wp:posOffset>742315</wp:posOffset>
              </wp:positionH>
              <wp:positionV relativeFrom="page">
                <wp:posOffset>509270</wp:posOffset>
              </wp:positionV>
              <wp:extent cx="9525" cy="12700"/>
              <wp:effectExtent l="0" t="0" r="0" b="0"/>
              <wp:wrapNone/>
              <wp:docPr id="5" name="任意多边形 2"/>
              <wp:cNvGraphicFramePr/>
              <a:graphic xmlns:a="http://schemas.openxmlformats.org/drawingml/2006/main">
                <a:graphicData uri="http://schemas.microsoft.com/office/word/2010/wordprocessingShape">
                  <wps:wsp>
                    <wps:cNvSpPr/>
                    <wps:spPr>
                      <a:xfrm>
                        <a:off x="2145600" y="3775238"/>
                        <a:ext cx="6400800" cy="9525"/>
                      </a:xfrm>
                      <a:custGeom>
                        <a:avLst/>
                        <a:gdLst/>
                        <a:ahLst/>
                        <a:cxnLst/>
                        <a:rect l="l" t="t" r="r" b="b"/>
                        <a:pathLst>
                          <a:path w="6400800" h="9525" extrusionOk="0">
                            <a:moveTo>
                              <a:pt x="0" y="0"/>
                            </a:moveTo>
                            <a:lnTo>
                              <a:pt x="6400800" y="0"/>
                            </a:lnTo>
                            <a:lnTo>
                              <a:pt x="6400800" y="8890"/>
                            </a:lnTo>
                            <a:lnTo>
                              <a:pt x="0" y="8890"/>
                            </a:lnTo>
                            <a:lnTo>
                              <a:pt x="0"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w:pict>
            <v:shape id="_x0000_s1026" o:spid="_x0000_s1026" o:spt="100" style="position:absolute;left:0pt;margin-left:58.45pt;margin-top:40.1pt;height:1pt;width:0.75pt;mso-position-horizontal-relative:page;mso-position-vertical-relative:page;z-index:251661312;v-text-anchor:middle;mso-width-relative:page;mso-height-relative:page;" fillcolor="#000000" filled="t" stroked="f" coordsize="6400800,9525" o:gfxdata="UEsFBgAAAAAAAAAAAAAAAAAAAAAAAFBLAwQKAAAAAACHTuJAAAAAAAAAAAAAAAAABAAAAGRycy9Q&#10;SwMEFAAAAAgAh07iQHk8KjvXAAAACQEAAA8AAABkcnMvZG93bnJldi54bWxNj8FOwzAMhu9IvENk&#10;JG4saQVTKU0nhECgHSZYOeyYNaat2jhVk3Xj7eed4Pjbn35/LlYnN4gZp9B50pAsFAik2tuOGg3f&#10;1dtdBiJEQ9YMnlDDLwZYlddXhcmtP9IXztvYCC6hkBsNbYxjLmWoW3QmLPyIxLsfPzkTOU6NtJM5&#10;crkbZKrUUjrTEV9ozYgvLdb99uA0PG/e3Q77navWm2q2D7L/+Jxftb69SdQTiIin+AfDRZ/VoWSn&#10;vT+QDWLgnCwfGdWQqRTEBUiyexB7HqQpyLKQ/z8oz1BLAwQUAAAACACHTuJAVkeKXlcCAAD5BAAA&#10;DgAAAGRycy9lMm9Eb2MueG1srVTBjtMwEL0j8Q+W7zRpt+22VdMV2lUR0oqttMsHuI7TWDi2sd2m&#10;vXPnzhHxE2gFX8MiPoOxnbRhkRBC5ODMxM/jeW9mMr/YVwLtmLFcyQz3eylGTFKVc7nJ8Ou75bMJ&#10;RtYRmROhJMvwgVl8sXj6ZF7rGRuoUomcGQRBpJ3VOsOlc3qWJJaWrCK2pzSTsFkoUxEHrtkkuSE1&#10;RK9EMkjTcVIrk2ujKLMWvl7FTbwI8YuCUXdTFJY5JDIMubmwmrCu/Zos5mS2MUSXnDZpkH/IoiJc&#10;wqXHUFfEEbQ1/LdQFadGWVW4HlVVooqCUxY4AJt++ojNbUk0C1xAHKuPMtn/F5a+2q0M4nmGBxhJ&#10;UkGJvt3ff3/3/uHThx9fPz98+YgGXqRa2xlgb/XKNJ4F0zPeF6byb+CC9hCmPxyNU5D6kOGz8/PR&#10;4GwSRWZ7hygAxsM0nXgABcR0NBj57eQUh26te8FUiEl219bFEuWtRcrWonvZmgYK7UssQokdRlBi&#10;gxGUeB1v18T5cz5Rb6K6k0jZ5IEgRbP1nXzzxveGB1dqx+5UOOY8vUgs9A3kfNoVsos6cgSKLbZF&#10;tG8d4nWRk8n0z+B4+V/CHoeiQlkWpfYKBM2PqgCXru5WCZ4vuRCeuDWb9aUwaEf8DIWnKdkvMCE9&#10;WCp/LF7jvyS+cWKreGut8gP0m9V0yY1118S6FTEwcX2MapjCDNu3W2IYRuKlhDaf9ofQIMh1HdN1&#10;1l2HSFoqqDx1UPvoXDrwYymler51quC+oUJaMZnGgfkKkjT/Aj/AXT+gTn+sxU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WAAAAZHJzL1BL&#10;AQIUABQAAAAIAIdO4kB5PCo71wAAAAkBAAAPAAAAAAAAAAEAIAAAADgAAABkcnMvZG93bnJldi54&#10;bWxQSwECFAAUAAAACACHTuJAVkeKXlcCAAD5BAAADgAAAAAAAAABACAAAAA8AQAAZHJzL2Uyb0Rv&#10;Yy54bWxQSwUGAAAAAAYABgBZAQAABQYAAAAA&#10;" path="m0,0l6400800,0,6400800,8890,0,8890,0,0xe">
              <v:fill on="t" focussize="0,0"/>
              <v:stroke on="f"/>
              <v:imagedata o:title=""/>
              <o:lock v:ext="edit" aspectratio="f"/>
              <v:textbox inset="7.1988188976378pt,7.1988188976378pt,7.1988188976378pt,7.1988188976378pt"/>
            </v:shape>
          </w:pict>
        </mc:Fallback>
      </mc:AlternateContent>
    </w:r>
    <w:r>
      <w:rPr>
        <w:rFonts w:hint="eastAsia" w:eastAsia="宋体"/>
        <w:lang w:val="en-US" w:eastAsia="zh-CN"/>
      </w:rPr>
      <w:t xml:space="preserve">                                  </w:t>
    </w:r>
    <w:r>
      <w:rPr>
        <w:rFonts w:hint="eastAsia" w:ascii="宋体" w:hAnsi="宋体" w:eastAsia="宋体" w:cs="宋体"/>
        <w:sz w:val="22"/>
        <w:szCs w:val="22"/>
        <w:lang w:val="en-US" w:eastAsia="zh-CN"/>
      </w:rPr>
      <w:t xml:space="preserve">  </w:t>
    </w:r>
    <w:r>
      <w:rPr>
        <w:rFonts w:hint="eastAsia" w:ascii="宋体" w:hAnsi="宋体" w:eastAsia="宋体" w:cs="宋体"/>
        <w:b w:val="0"/>
        <w:i w:val="0"/>
        <w:smallCaps w:val="0"/>
        <w:strike w:val="0"/>
        <w:color w:val="000000"/>
        <w:sz w:val="20"/>
        <w:szCs w:val="20"/>
        <w:u w:val="none"/>
        <w:shd w:val="clear" w:fill="auto"/>
        <w:vertAlign w:val="baseline"/>
        <w:rtl w:val="0"/>
      </w:rPr>
      <w:t>合同编码：</w:t>
    </w:r>
    <w:r>
      <w:rPr>
        <w:rFonts w:hint="eastAsia" w:ascii="宋体" w:hAnsi="宋体" w:eastAsia="宋体" w:cs="宋体"/>
        <w:b w:val="0"/>
        <w:i w:val="0"/>
        <w:smallCaps w:val="0"/>
        <w:strike w:val="0"/>
        <w:color w:val="000000"/>
        <w:sz w:val="20"/>
        <w:szCs w:val="20"/>
        <w:u w:val="none"/>
        <w:shd w:val="clear" w:fill="auto"/>
        <w:vertAlign w:val="baseline"/>
        <w:rtl w:val="0"/>
        <w:lang w:val="en-US" w:eastAsia="zh-CN"/>
      </w:rPr>
      <w:t>ECOPV</w:t>
    </w:r>
    <w:r>
      <w:rPr>
        <w:rFonts w:hint="eastAsia" w:ascii="宋体" w:hAnsi="宋体" w:eastAsia="宋体" w:cs="宋体"/>
        <w:b w:val="0"/>
        <w:i w:val="0"/>
        <w:smallCaps w:val="0"/>
        <w:strike w:val="0"/>
        <w:color w:val="000000"/>
        <w:sz w:val="20"/>
        <w:szCs w:val="20"/>
        <w:u w:val="none"/>
        <w:shd w:val="clear" w:fill="auto"/>
        <w:vertAlign w:val="baseline"/>
        <w:rtl w:val="0"/>
      </w:rPr>
      <w:t>202</w:t>
    </w:r>
    <w:r>
      <w:rPr>
        <w:rFonts w:hint="eastAsia" w:ascii="宋体" w:hAnsi="宋体" w:eastAsia="宋体" w:cs="宋体"/>
        <w:b w:val="0"/>
        <w:i w:val="0"/>
        <w:smallCaps w:val="0"/>
        <w:strike w:val="0"/>
        <w:color w:val="000000"/>
        <w:sz w:val="20"/>
        <w:szCs w:val="20"/>
        <w:u w:val="none"/>
        <w:shd w:val="clear" w:fill="auto"/>
        <w:vertAlign w:val="baseline"/>
        <w:rtl w:val="0"/>
        <w:lang w:val="en-US" w:eastAsia="zh-CN"/>
      </w:rPr>
      <w:t>5111802</w:t>
    </w:r>
  </w:p>
  <w:p>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BF85E2"/>
    <w:multiLevelType w:val="singleLevel"/>
    <w:tmpl w:val="FFBF85E2"/>
    <w:lvl w:ilvl="0" w:tentative="0">
      <w:start w:val="4"/>
      <w:numFmt w:val="decimal"/>
      <w:lvlText w:val="%1."/>
      <w:lvlJc w:val="left"/>
      <w:pPr>
        <w:tabs>
          <w:tab w:val="left" w:pos="312"/>
        </w:tabs>
      </w:pPr>
    </w:lvl>
  </w:abstractNum>
  <w:abstractNum w:abstractNumId="1">
    <w:nsid w:val="71EED039"/>
    <w:multiLevelType w:val="singleLevel"/>
    <w:tmpl w:val="71EED039"/>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0"/>
  <w:displayVerticalDrawingGridEvery w:val="2"/>
  <w:compat>
    <w:balanceSingleByteDoubleByteWidth/>
    <w:doNotExpandShiftReturn/>
    <w:adjustLineHeightInTable/>
    <w:doNotWrapTextWithPunct/>
    <w:doNotUseEastAsianBreakRules/>
    <w:useFELayout/>
    <w:doNotUseIndentAsNumberingTabStop/>
    <w:useAltKinsokuLineBreakRules/>
    <w:compatSetting w:name="compatibilityMode" w:uri="http://schemas.microsoft.com/office/word" w:val="15"/>
  </w:compat>
  <w:docVars>
    <w:docVar w:name="commondata" w:val="eyJoZGlkIjoiZWY2YTlhNGE0NGQxZWU1NjAzNDJiMjBlYTg1Yjg4MzQifQ=="/>
  </w:docVars>
  <w:rsids>
    <w:rsidRoot w:val="00000000"/>
    <w:rsid w:val="017165B7"/>
    <w:rsid w:val="03BE185C"/>
    <w:rsid w:val="041F054D"/>
    <w:rsid w:val="05AA02EA"/>
    <w:rsid w:val="061E4834"/>
    <w:rsid w:val="0B8010D6"/>
    <w:rsid w:val="0DA41AC3"/>
    <w:rsid w:val="103D129C"/>
    <w:rsid w:val="107631A8"/>
    <w:rsid w:val="15542020"/>
    <w:rsid w:val="15E95CAE"/>
    <w:rsid w:val="19436634"/>
    <w:rsid w:val="1BCD6688"/>
    <w:rsid w:val="1EB27B42"/>
    <w:rsid w:val="1EED912B"/>
    <w:rsid w:val="205B24B5"/>
    <w:rsid w:val="26775B6F"/>
    <w:rsid w:val="27433CA3"/>
    <w:rsid w:val="27D33279"/>
    <w:rsid w:val="28040F3B"/>
    <w:rsid w:val="29914097"/>
    <w:rsid w:val="2A25130C"/>
    <w:rsid w:val="2D1B54A6"/>
    <w:rsid w:val="2EA731B2"/>
    <w:rsid w:val="30FB1BB1"/>
    <w:rsid w:val="346534AA"/>
    <w:rsid w:val="34D26EB9"/>
    <w:rsid w:val="36484E32"/>
    <w:rsid w:val="36F17277"/>
    <w:rsid w:val="373816F7"/>
    <w:rsid w:val="38007385"/>
    <w:rsid w:val="39756BD2"/>
    <w:rsid w:val="39E24F08"/>
    <w:rsid w:val="3D2A5291"/>
    <w:rsid w:val="3DFB180B"/>
    <w:rsid w:val="3EA80B63"/>
    <w:rsid w:val="3FE47979"/>
    <w:rsid w:val="42C6780A"/>
    <w:rsid w:val="438D0565"/>
    <w:rsid w:val="43A67541"/>
    <w:rsid w:val="43B12268"/>
    <w:rsid w:val="45260A34"/>
    <w:rsid w:val="461435E6"/>
    <w:rsid w:val="462E5DF2"/>
    <w:rsid w:val="499D7746"/>
    <w:rsid w:val="4AF15640"/>
    <w:rsid w:val="4AFB026D"/>
    <w:rsid w:val="4C2537F3"/>
    <w:rsid w:val="4FBF94E7"/>
    <w:rsid w:val="524000AD"/>
    <w:rsid w:val="52C41033"/>
    <w:rsid w:val="58F570FE"/>
    <w:rsid w:val="5A054C64"/>
    <w:rsid w:val="5AD05206"/>
    <w:rsid w:val="5AF11C90"/>
    <w:rsid w:val="5EBB3B43"/>
    <w:rsid w:val="5FDA449D"/>
    <w:rsid w:val="61E433B1"/>
    <w:rsid w:val="635A5D3C"/>
    <w:rsid w:val="646F78AA"/>
    <w:rsid w:val="649519D3"/>
    <w:rsid w:val="65C52A73"/>
    <w:rsid w:val="69FB731B"/>
    <w:rsid w:val="70B750DD"/>
    <w:rsid w:val="70C54B1D"/>
    <w:rsid w:val="713BB4C7"/>
    <w:rsid w:val="73444A77"/>
    <w:rsid w:val="76AC6CC3"/>
    <w:rsid w:val="76B86E8E"/>
    <w:rsid w:val="7772528F"/>
    <w:rsid w:val="79E919C1"/>
    <w:rsid w:val="7B38059E"/>
    <w:rsid w:val="7BDF6C6B"/>
    <w:rsid w:val="7BFE172B"/>
    <w:rsid w:val="7E6651B6"/>
    <w:rsid w:val="7FD31C0F"/>
    <w:rsid w:val="7FF19F74"/>
    <w:rsid w:val="DEFFDBBD"/>
    <w:rsid w:val="F3DC70B7"/>
    <w:rsid w:val="F77F802A"/>
    <w:rsid w:val="FDBBE3F0"/>
    <w:rsid w:val="FFFFF0CA"/>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pageBreakBefore w:val="0"/>
      <w:spacing w:before="480" w:after="120"/>
    </w:pPr>
    <w:rPr>
      <w:b/>
      <w:sz w:val="48"/>
      <w:szCs w:val="48"/>
    </w:rPr>
  </w:style>
  <w:style w:type="paragraph" w:styleId="3">
    <w:name w:val="heading 2"/>
    <w:basedOn w:val="1"/>
    <w:next w:val="1"/>
    <w:qFormat/>
    <w:uiPriority w:val="0"/>
    <w:pPr>
      <w:keepNext/>
      <w:keepLines/>
      <w:pageBreakBefore w:val="0"/>
      <w:spacing w:before="360" w:after="80"/>
    </w:pPr>
    <w:rPr>
      <w:b/>
      <w:sz w:val="36"/>
      <w:szCs w:val="36"/>
    </w:rPr>
  </w:style>
  <w:style w:type="paragraph" w:styleId="4">
    <w:name w:val="heading 3"/>
    <w:basedOn w:val="1"/>
    <w:next w:val="1"/>
    <w:qFormat/>
    <w:uiPriority w:val="0"/>
    <w:pPr>
      <w:keepNext/>
      <w:keepLines/>
      <w:pageBreakBefore w:val="0"/>
      <w:spacing w:before="280" w:after="80"/>
    </w:pPr>
    <w:rPr>
      <w:b/>
      <w:sz w:val="28"/>
      <w:szCs w:val="28"/>
    </w:rPr>
  </w:style>
  <w:style w:type="paragraph" w:styleId="5">
    <w:name w:val="heading 4"/>
    <w:basedOn w:val="1"/>
    <w:next w:val="1"/>
    <w:qFormat/>
    <w:uiPriority w:val="0"/>
    <w:pPr>
      <w:keepNext/>
      <w:keepLines/>
      <w:pageBreakBefore w:val="0"/>
      <w:spacing w:before="240" w:after="40"/>
    </w:pPr>
    <w:rPr>
      <w:b/>
      <w:sz w:val="24"/>
      <w:szCs w:val="24"/>
    </w:rPr>
  </w:style>
  <w:style w:type="paragraph" w:styleId="6">
    <w:name w:val="heading 5"/>
    <w:basedOn w:val="1"/>
    <w:next w:val="1"/>
    <w:qFormat/>
    <w:uiPriority w:val="0"/>
    <w:pPr>
      <w:keepNext/>
      <w:keepLines/>
      <w:pageBreakBefore w:val="0"/>
      <w:spacing w:before="220" w:after="40"/>
    </w:pPr>
    <w:rPr>
      <w:b/>
      <w:sz w:val="22"/>
      <w:szCs w:val="22"/>
    </w:rPr>
  </w:style>
  <w:style w:type="paragraph" w:styleId="7">
    <w:name w:val="heading 6"/>
    <w:basedOn w:val="1"/>
    <w:next w:val="1"/>
    <w:qFormat/>
    <w:uiPriority w:val="0"/>
    <w:pPr>
      <w:keepNext/>
      <w:keepLines/>
      <w:pageBreakBefore w:val="0"/>
      <w:spacing w:before="200" w:after="40"/>
    </w:pPr>
    <w:rPr>
      <w:b/>
      <w:sz w:val="20"/>
      <w:szCs w:val="20"/>
    </w:rPr>
  </w:style>
  <w:style w:type="character" w:default="1" w:styleId="16">
    <w:name w:val="Default Paragraph Font"/>
    <w:semiHidden/>
    <w:qFormat/>
    <w:uiPriority w:val="0"/>
  </w:style>
  <w:style w:type="table" w:default="1" w:styleId="14">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8">
    <w:name w:val="Body Text"/>
    <w:basedOn w:val="1"/>
    <w:qFormat/>
    <w:uiPriority w:val="0"/>
    <w:rPr>
      <w:rFonts w:ascii="宋体" w:hAnsi="宋体" w:eastAsia="宋体" w:cs="宋体"/>
      <w:sz w:val="22"/>
      <w:szCs w:val="22"/>
      <w:lang w:val="en-US" w:eastAsia="en-US" w:bidi="ar-SA"/>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Subtitle"/>
    <w:basedOn w:val="1"/>
    <w:next w:val="1"/>
    <w:qFormat/>
    <w:uiPriority w:val="0"/>
    <w:pPr>
      <w:keepNext/>
      <w:keepLines/>
      <w:pageBreakBefore w:val="0"/>
      <w:spacing w:before="360" w:after="80"/>
    </w:pPr>
    <w:rPr>
      <w:rFonts w:ascii="Georgia" w:hAnsi="Georgia" w:eastAsia="Georgia" w:cs="Georgia"/>
      <w:i/>
      <w:color w:val="666666"/>
      <w:sz w:val="48"/>
      <w:szCs w:val="48"/>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3">
    <w:name w:val="Title"/>
    <w:basedOn w:val="1"/>
    <w:next w:val="1"/>
    <w:qFormat/>
    <w:uiPriority w:val="0"/>
    <w:pPr>
      <w:keepNext/>
      <w:keepLines/>
      <w:pageBreakBefore w:val="0"/>
      <w:spacing w:before="480" w:after="120"/>
    </w:pPr>
    <w:rPr>
      <w:b/>
      <w:sz w:val="72"/>
      <w:szCs w:val="72"/>
    </w:rPr>
  </w:style>
  <w:style w:type="table" w:styleId="15">
    <w:name w:val="Table Grid"/>
    <w:basedOn w:val="14"/>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7">
    <w:name w:val="Strong"/>
    <w:basedOn w:val="16"/>
    <w:qFormat/>
    <w:uiPriority w:val="0"/>
    <w:rPr>
      <w:b/>
    </w:rPr>
  </w:style>
  <w:style w:type="table" w:customStyle="1" w:styleId="18">
    <w:name w:val="Table Normal"/>
    <w:semiHidden/>
    <w:unhideWhenUsed/>
    <w:qFormat/>
    <w:uiPriority w:val="0"/>
    <w:tblPr>
      <w:tblLayout w:type="fixed"/>
      <w:tblCellMar>
        <w:top w:w="0" w:type="dxa"/>
        <w:left w:w="0" w:type="dxa"/>
        <w:bottom w:w="0" w:type="dxa"/>
        <w:right w:w="0" w:type="dxa"/>
      </w:tblCellMar>
    </w:tblPr>
  </w:style>
  <w:style w:type="table" w:customStyle="1" w:styleId="19">
    <w:name w:val="_Style 49"/>
    <w:basedOn w:val="18"/>
    <w:qFormat/>
    <w:uiPriority w:val="0"/>
    <w:pPr>
      <w:widowControl w:val="0"/>
      <w:jc w:val="both"/>
    </w:pPr>
    <w:rPr>
      <w:rFonts w:ascii="Calibri" w:hAnsi="Calibri" w:eastAsia="Calibri" w:cs="Calibri"/>
      <w:sz w:val="22"/>
      <w:szCs w:val="22"/>
    </w:rPr>
    <w:tblPr>
      <w:tblLayout w:type="fixed"/>
      <w:tblCellMar>
        <w:top w:w="0" w:type="dxa"/>
        <w:left w:w="115" w:type="dxa"/>
        <w:bottom w:w="0" w:type="dxa"/>
        <w:right w:w="115" w:type="dxa"/>
      </w:tblCellMar>
    </w:tblPr>
  </w:style>
  <w:style w:type="table" w:customStyle="1" w:styleId="20">
    <w:name w:val="_Style 50"/>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1">
    <w:name w:val="_Style 51"/>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2">
    <w:name w:val="_Style 52"/>
    <w:basedOn w:val="18"/>
    <w:qFormat/>
    <w:uiPriority w:val="0"/>
    <w:pPr>
      <w:widowControl w:val="0"/>
      <w:jc w:val="both"/>
    </w:pPr>
    <w:rPr>
      <w:rFonts w:ascii="Calibri" w:hAnsi="Calibri" w:eastAsia="Calibri" w:cs="Calibri"/>
      <w:sz w:val="22"/>
      <w:szCs w:val="22"/>
    </w:rPr>
    <w:tblPr>
      <w:tblLayout w:type="fixed"/>
      <w:tblCellMar>
        <w:top w:w="0" w:type="dxa"/>
        <w:left w:w="115" w:type="dxa"/>
        <w:bottom w:w="0" w:type="dxa"/>
        <w:right w:w="115" w:type="dxa"/>
      </w:tblCellMar>
    </w:tblPr>
  </w:style>
  <w:style w:type="table" w:customStyle="1" w:styleId="23">
    <w:name w:val="_Style 21"/>
    <w:basedOn w:val="18"/>
    <w:qFormat/>
    <w:uiPriority w:val="0"/>
    <w:pPr>
      <w:widowControl w:val="0"/>
      <w:jc w:val="both"/>
    </w:pPr>
    <w:rPr>
      <w:rFonts w:ascii="Calibri" w:hAnsi="Calibri" w:eastAsia="Calibri" w:cs="Calibri"/>
      <w:sz w:val="22"/>
      <w:szCs w:val="22"/>
    </w:rPr>
    <w:tblPr>
      <w:tblLayout w:type="fixed"/>
      <w:tblCellMar>
        <w:top w:w="0" w:type="dxa"/>
        <w:left w:w="115" w:type="dxa"/>
        <w:bottom w:w="0" w:type="dxa"/>
        <w:right w:w="115" w:type="dxa"/>
      </w:tblCellMar>
    </w:tblPr>
  </w:style>
  <w:style w:type="table" w:customStyle="1" w:styleId="24">
    <w:name w:val="_Style 22"/>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5">
    <w:name w:val="_Style 23"/>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6">
    <w:name w:val="_Style 24"/>
    <w:basedOn w:val="18"/>
    <w:qFormat/>
    <w:uiPriority w:val="0"/>
    <w:pPr>
      <w:widowControl w:val="0"/>
      <w:jc w:val="both"/>
    </w:pPr>
    <w:rPr>
      <w:rFonts w:ascii="Calibri" w:hAnsi="Calibri" w:eastAsia="Calibri" w:cs="Calibri"/>
      <w:sz w:val="22"/>
      <w:szCs w:val="22"/>
    </w:rPr>
    <w:tblPr>
      <w:tblLayout w:type="fixed"/>
      <w:tblCellMar>
        <w:top w:w="0" w:type="dxa"/>
        <w:left w:w="108" w:type="dxa"/>
        <w:bottom w:w="0" w:type="dxa"/>
        <w:right w:w="108" w:type="dxa"/>
      </w:tblCellMar>
    </w:tblPr>
  </w:style>
  <w:style w:type="table" w:customStyle="1" w:styleId="27">
    <w:name w:val="_Style 25"/>
    <w:basedOn w:val="18"/>
    <w:qFormat/>
    <w:uiPriority w:val="0"/>
    <w:pPr>
      <w:widowControl w:val="0"/>
      <w:jc w:val="both"/>
    </w:pPr>
    <w:rPr>
      <w:rFonts w:ascii="Calibri" w:hAnsi="Calibri" w:eastAsia="Calibri" w:cs="Calibri"/>
      <w:sz w:val="22"/>
      <w:szCs w:val="22"/>
    </w:rPr>
    <w:tblPr>
      <w:tblLayout w:type="fixed"/>
      <w:tblCellMar>
        <w:top w:w="0" w:type="dxa"/>
        <w:left w:w="115" w:type="dxa"/>
        <w:bottom w:w="0" w:type="dxa"/>
        <w:right w:w="115" w:type="dxa"/>
      </w:tblCellMar>
    </w:tblPr>
  </w:style>
  <w:style w:type="paragraph" w:customStyle="1" w:styleId="28">
    <w:name w:val="Table Text"/>
    <w:basedOn w:val="1"/>
    <w:semiHidden/>
    <w:qFormat/>
    <w:uiPriority w:val="0"/>
    <w:rPr>
      <w:rFonts w:ascii="宋体" w:hAnsi="宋体" w:eastAsia="宋体" w:cs="宋体"/>
      <w:sz w:val="24"/>
      <w:szCs w:val="24"/>
      <w:lang w:val="en-US" w:eastAsia="en-US" w:bidi="ar-SA"/>
    </w:rPr>
  </w:style>
  <w:style w:type="character" w:customStyle="1" w:styleId="EPRUserInput">
    <w:name w:val="EPRUserInput"/>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Pages>
  <Words>1507</Words>
  <Characters>1769</Characters>
  <Lines>1</Lines>
  <Paragraphs>1</Paragraphs>
  <TotalTime>0</TotalTime>
  <ScaleCrop>false</ScaleCrop>
  <LinksUpToDate>false</LinksUpToDate>
  <CharactersWithSpaces>2184</CharactersWithSpaces>
  <Application>WWO_base_provider_20211025155225-48f58d7621</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2023-12-29T23:22:00Z</dcterms:created>
  <dc:creator>哈哈五爷</dc:creator>
  <cp:lastModifiedBy>ECOPV01</cp:lastModifiedBy>
  <dcterms:modified xsi:type="dcterms:W3CDTF">2026-08-14T14:06:53Z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9EFCDFBEEBDB4310A1EF6AFDCF8EEDC5_13</vt:lpwstr>
  </property>
  <property fmtid="{D5CDD505-2E9C-101B-9397-08002B2CF9AE}" pid="4" name="KSOTemplateDocerSaveRecord">
    <vt:lpwstr>eyJoZGlkIjoiOTc3M2Y5NzIzMDFlZjAyY2Q4Njk5ODkyYjFjNzBiNTQiLCJ1c2VySWQiOiIxNjEzMjY4ODM3In0=</vt:lpwstr>
  </property>
</Properties>
</file>