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 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pStyle w:val="8"/>
        <w:spacing w:before="130" w:line="420" w:lineRule="exact"/>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
            </w:r>
            <w:r>
              <w:rPr>
                <w:rFonts w:hint="eastAsia" w:ascii="宋体" w:hAnsi="宋体" w:eastAsia="宋体" w:cs="宋体"/>
                <w:b/>
                <w:bCs/>
                <w:i w:val="0"/>
                <w:iCs w:val="0"/>
                <w:color w:val="000000"/>
                <w:kern w:val="0"/>
                <w:sz w:val="28"/>
                <w:szCs w:val="28"/>
                <w:u w:val="none"/>
                <w:lang w:val="en-US" w:eastAsia="zh-CN" w:bidi="ar"/>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2000个</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一次性塑料法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产品材质</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烟草滤头</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一次性饮料杯</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一次性食品包装盒</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塑料袋或塑料膜包装</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不可回收的饮料瓶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轻塑料袋</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湿纸巾</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气球</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德国包装法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包装材质</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玻璃</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纸张/纸板/纸箱</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铁金属</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铝</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饮料纸盒包装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其他复合包装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其他材料包括木材和软木等天然材料、织物、瓷器、炻器和其他非铁或铝金属。</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5.各项目注销费：</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注销项目</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注销价格（欧元）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每个公司账户</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每个品类证书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德国电池法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额外品牌证书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德国包装法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德国一次性塑料法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专项补充协议</w:t>
      </w:r>
    </w:p>
    <w:p>
      <w:r>
        <w:rPr>
          <w:rFonts w:ascii="Times New Roman" w:hAnsi="Times New Roman" w:eastAsia="宋体" w:cs="Times New Roman"/>
          <w:b/>
          <w:color w:val="C00000"/>
          <w:sz w:val="24"/>
        </w:rPr>
        <w:t>1、Battery Reporting, Fees and Contract Termination</w:t>
      </w:r>
    </w:p>
    <w:p>
      <w:r>
        <w:rPr>
          <w:rFonts w:ascii="Times New Roman" w:hAnsi="Times New Roman" w:eastAsia="宋体" w:cs="Times New Roman"/>
          <w:b w:val="0"/>
          <w:color w:val="C00000"/>
          <w:sz w:val="24"/>
        </w:rPr>
        <w:t>Party A shall report to Party B the quantities of batteries placed on the Danish market at the intervals and by the deadlines applicable to all members, and shall, upon Party B's request, promptly prove the accuracy of the reported quantities by conclusive means such as invoices and excerpts from sales reports, and shall allow Party B or external representatives designated by it to inspect the relevant business documents at Party A's premises at any time without prior notice. If Party A intends to place batteries on the market outside the registered scope, it shall notify Party B by email at least three weeks in advance and shall at the same time inform Party B of the estimated first-year placement quantities and the information that Party B considers necessary for compliance. Party A shall comply with the financial guarantee requirements imposed by the Danish authorities or the service provider pursuant to battery legislation, and shall ensure that the guarantee is issued in accordance with the relevant regulatory standards and remains valid for the period required by the authorities. Party A shall pay Party B the same payments as other members of the service provider, including the annual membership fee, statutory contributions covering the operational costs of battery treatment, and registration fees and administrative fees set by the authorities; and shall reimburse Party B, against invoice, for all costs incurred by Party B in assuming the role of authorized representative, including auditor assurance and report verification costs, and Party B shall have the right to charge interim fees to cover the aforesaid costs. If Party A fails to submit the information or documents described in this agreement, Party B shall have the right to charge at the then-effective rate for the hours spent collecting such information, which rate at the time of signing is a minimum of EUR 130 per hour or part thereof. Either party may terminate this agreement with the notice period applicable to withdrawal from the service provider, which notice period is currently 24 months, expiring at the end of the remaining calendar year; notice of termination must be given in writing by post and email. If Party A fails to perform this agreement, Party B shall have the right to cancel this agreement without notice, and such cancellation shall simultaneously result in Party A's expulsion from the service provider</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