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b/>
          <w:bCs/>
          <w:sz w:val="44"/>
          <w:szCs w:val="52"/>
        </w:rPr>
      </w:pPr>
      <w:r>
        <w:rPr>
          <w:rFonts w:hint="eastAsia"/>
          <w:b/>
          <w:bCs/>
          <w:sz w:val="44"/>
          <w:szCs w:val="52"/>
        </w:rPr>
        <w:t>EPR Registration Service Entrustment Contract</w:t>
      </w:r>
    </w:p>
    <w:p>
      <w:pPr>
        <w:jc w:val="center"/>
        <w:rPr>
          <w:rFonts w:hint="eastAsia"/>
          <w:b/>
          <w:bCs/>
          <w:sz w:val="44"/>
          <w:szCs w:val="52"/>
        </w:rPr>
      </w:pPr>
      <w:r>
        <w:rPr>
          <w:rFonts w:hint="eastAsia"/>
          <w:b/>
          <w:bCs/>
          <w:sz w:val="44"/>
          <w:szCs w:val="52"/>
        </w:rPr>
        <w:t>EPR 注册服务委托合同</w:t>
      </w:r>
    </w:p>
    <w:p>
      <w:pPr>
        <w:rPr>
          <w:rFonts w:hint="eastAsia"/>
          <w:sz w:val="24"/>
          <w:szCs w:val="32"/>
        </w:rPr>
      </w:pPr>
    </w:p>
    <w:p>
      <w:pPr>
        <w:rPr>
          <w:rFonts w:hint="eastAsia"/>
          <w:sz w:val="24"/>
          <w:szCs w:val="32"/>
        </w:rPr>
      </w:pPr>
      <w:r>
        <w:rPr>
          <w:rFonts w:hint="eastAsia"/>
          <w:sz w:val="24"/>
          <w:szCs w:val="32"/>
        </w:rPr>
        <w:t>Party A (Entrusting Party):</w:t>
      </w:r>
      <w:r>
        <w:rPr>
          <w:rStyle w:val="EPRUserInput"/>
          <w:rFonts w:hint="eastAsia"/>
          <w:color w:val="000000"/>
          <w:sz w:val="24"/>
          <w:szCs w:val="32"/>
        </w:rPr>
        <w:t xml:space="preserve"> 1</w:t>
      </w:r>
    </w:p>
    <w:p>
      <w:pPr>
        <w:rPr>
          <w:rFonts w:hint="eastAsia"/>
          <w:sz w:val="24"/>
          <w:szCs w:val="32"/>
        </w:rPr>
      </w:pPr>
      <w:r>
        <w:rPr>
          <w:rFonts w:hint="eastAsia"/>
          <w:sz w:val="24"/>
          <w:szCs w:val="32"/>
        </w:rPr>
        <w:t>甲方（委托方）：</w:t>
      </w:r>
      <w:r>
        <w:rPr>
          <w:rStyle w:val="EPRUserInput"/>
          <w:rFonts w:hint="eastAsia"/>
          <w:color w:val="000000"/>
          <w:sz w:val="24"/>
          <w:szCs w:val="32"/>
        </w:rPr>
        <w:t xml:space="preserve"> 1</w:t>
      </w:r>
    </w:p>
    <w:p>
      <w:pPr>
        <w:rPr>
          <w:rFonts w:hint="eastAsia"/>
          <w:sz w:val="24"/>
          <w:szCs w:val="32"/>
        </w:rPr>
      </w:pPr>
    </w:p>
    <w:p>
      <w:pPr>
        <w:rPr>
          <w:rFonts w:hint="eastAsia"/>
          <w:sz w:val="24"/>
          <w:szCs w:val="32"/>
        </w:rPr>
      </w:pPr>
      <w:r>
        <w:rPr>
          <w:rFonts w:hint="eastAsia"/>
          <w:sz w:val="24"/>
          <w:szCs w:val="32"/>
        </w:rPr>
        <w:t>Address:</w:t>
      </w:r>
      <w:r>
        <w:rPr>
          <w:rStyle w:val="EPRUserInput"/>
          <w:rFonts w:hint="eastAsia"/>
          <w:color w:val="000000"/>
          <w:sz w:val="24"/>
          <w:szCs w:val="32"/>
        </w:rPr>
        <w:t xml:space="preserve"> 1</w:t>
      </w:r>
    </w:p>
    <w:p>
      <w:pPr>
        <w:rPr>
          <w:rFonts w:hint="eastAsia"/>
          <w:sz w:val="24"/>
          <w:szCs w:val="32"/>
        </w:rPr>
      </w:pPr>
      <w:r>
        <w:rPr>
          <w:rFonts w:hint="eastAsia"/>
          <w:sz w:val="24"/>
          <w:szCs w:val="32"/>
        </w:rPr>
        <w:t>地址:</w:t>
      </w:r>
      <w:r>
        <w:rPr>
          <w:rStyle w:val="EPRUserInput"/>
          <w:rFonts w:hint="eastAsia"/>
          <w:color w:val="000000"/>
          <w:sz w:val="24"/>
          <w:szCs w:val="32"/>
        </w:rPr>
        <w:t xml:space="preserve"> 1</w:t>
      </w:r>
    </w:p>
    <w:p>
      <w:pPr>
        <w:rPr>
          <w:rFonts w:hint="eastAsia"/>
          <w:sz w:val="24"/>
          <w:szCs w:val="32"/>
        </w:rPr>
      </w:pPr>
    </w:p>
    <w:p>
      <w:pPr>
        <w:rPr>
          <w:rFonts w:hint="eastAsia"/>
          <w:sz w:val="24"/>
          <w:szCs w:val="32"/>
        </w:rPr>
      </w:pPr>
      <w:r>
        <w:rPr>
          <w:rFonts w:hint="eastAsia"/>
          <w:sz w:val="24"/>
          <w:szCs w:val="32"/>
        </w:rPr>
        <w:t>Contact Person:</w:t>
      </w:r>
      <w:r>
        <w:rPr>
          <w:rStyle w:val="EPRUserInput"/>
          <w:rFonts w:hint="eastAsia"/>
          <w:color w:val="000000"/>
          <w:sz w:val="24"/>
          <w:szCs w:val="32"/>
        </w:rPr>
        <w:t xml:space="preserve"> 1</w:t>
      </w:r>
    </w:p>
    <w:p>
      <w:pPr>
        <w:rPr>
          <w:rFonts w:hint="eastAsia"/>
          <w:sz w:val="24"/>
          <w:szCs w:val="32"/>
        </w:rPr>
      </w:pPr>
      <w:r>
        <w:rPr>
          <w:rFonts w:hint="eastAsia"/>
          <w:sz w:val="24"/>
          <w:szCs w:val="32"/>
        </w:rPr>
        <w:t>联系人：</w:t>
      </w:r>
      <w:r>
        <w:rPr>
          <w:rStyle w:val="EPRUserInput"/>
          <w:rFonts w:hint="eastAsia"/>
          <w:color w:val="000000"/>
          <w:sz w:val="24"/>
          <w:szCs w:val="32"/>
          <w:lang w:val="en-US" w:eastAsia="zh-CN"/>
        </w:rPr>
        <w:t xml:space="preserve">1</w:t>
      </w:r>
    </w:p>
    <w:p>
      <w:pPr>
        <w:rPr>
          <w:rFonts w:hint="eastAsia"/>
          <w:sz w:val="24"/>
          <w:szCs w:val="32"/>
        </w:rPr>
      </w:pPr>
    </w:p>
    <w:p>
      <w:pPr>
        <w:rPr>
          <w:rFonts w:hint="eastAsia"/>
          <w:sz w:val="24"/>
          <w:szCs w:val="32"/>
        </w:rPr>
      </w:pPr>
      <w:r>
        <w:rPr>
          <w:rFonts w:hint="eastAsia"/>
          <w:sz w:val="24"/>
          <w:szCs w:val="32"/>
        </w:rPr>
        <w:t>Telephone:</w:t>
      </w:r>
      <w:r>
        <w:rPr>
          <w:rStyle w:val="EPRUserInput"/>
          <w:rFonts w:hint="eastAsia"/>
          <w:color w:val="000000"/>
          <w:sz w:val="24"/>
          <w:szCs w:val="32"/>
        </w:rPr>
        <w:t xml:space="preserve"> 1</w:t>
      </w:r>
    </w:p>
    <w:p>
      <w:pPr>
        <w:rPr>
          <w:rFonts w:hint="eastAsia"/>
          <w:sz w:val="24"/>
          <w:szCs w:val="32"/>
        </w:rPr>
      </w:pPr>
      <w:r>
        <w:rPr>
          <w:rFonts w:hint="eastAsia"/>
          <w:sz w:val="24"/>
          <w:szCs w:val="32"/>
        </w:rPr>
        <w:t>电话：</w:t>
      </w:r>
      <w:r>
        <w:rPr>
          <w:rStyle w:val="EPRUserInput"/>
          <w:rFonts w:hint="eastAsia"/>
          <w:color w:val="000000"/>
          <w:sz w:val="24"/>
          <w:szCs w:val="32"/>
        </w:rPr>
        <w:t xml:space="preserve">1</w:t>
      </w:r>
    </w:p>
    <w:p>
      <w:pPr>
        <w:rPr>
          <w:rFonts w:hint="eastAsia"/>
          <w:sz w:val="24"/>
          <w:szCs w:val="32"/>
        </w:rPr>
      </w:pPr>
    </w:p>
    <w:p>
      <w:pPr>
        <w:rPr>
          <w:rFonts w:hint="eastAsia"/>
          <w:sz w:val="24"/>
          <w:szCs w:val="32"/>
        </w:rPr>
      </w:pPr>
      <w:r>
        <w:rPr>
          <w:rFonts w:hint="eastAsia"/>
          <w:sz w:val="24"/>
          <w:szCs w:val="32"/>
        </w:rPr>
        <w:t>Email:</w:t>
      </w:r>
      <w:r>
        <w:rPr>
          <w:rStyle w:val="EPRUserInput"/>
          <w:rFonts w:hint="eastAsia"/>
          <w:color w:val="000000"/>
          <w:sz w:val="24"/>
          <w:szCs w:val="32"/>
        </w:rPr>
        <w:t xml:space="preserve"> yss2012045056@163.com</w:t>
      </w:r>
    </w:p>
    <w:p>
      <w:pPr>
        <w:rPr>
          <w:rFonts w:hint="eastAsia"/>
          <w:sz w:val="24"/>
          <w:szCs w:val="32"/>
        </w:rPr>
      </w:pPr>
      <w:r>
        <w:rPr>
          <w:rFonts w:hint="eastAsia"/>
          <w:sz w:val="24"/>
          <w:szCs w:val="32"/>
        </w:rPr>
        <w:t>邮箱:</w:t>
      </w:r>
      <w:r>
        <w:rPr>
          <w:rStyle w:val="EPRUserInput"/>
          <w:rFonts w:hint="eastAsia"/>
          <w:color w:val="000000"/>
          <w:sz w:val="24"/>
          <w:szCs w:val="32"/>
        </w:rPr>
        <w:t xml:space="preserve"> yss2012045056@163.com</w:t>
      </w:r>
    </w:p>
    <w:p>
      <w:pPr>
        <w:rPr>
          <w:rFonts w:hint="eastAsia"/>
          <w:sz w:val="24"/>
          <w:szCs w:val="32"/>
        </w:rPr>
      </w:pPr>
    </w:p>
    <w:p>
      <w:pPr>
        <w:rPr>
          <w:rFonts w:hint="eastAsia"/>
          <w:sz w:val="24"/>
          <w:szCs w:val="32"/>
        </w:rPr>
      </w:pPr>
      <w:r>
        <w:rPr>
          <w:rFonts w:hint="eastAsia"/>
          <w:sz w:val="24"/>
          <w:szCs w:val="32"/>
        </w:rPr>
        <w:t>Party B (Agent Party): ECOPV ApS</w:t>
      </w:r>
    </w:p>
    <w:p>
      <w:pPr>
        <w:rPr>
          <w:rFonts w:hint="eastAsia"/>
          <w:sz w:val="24"/>
          <w:szCs w:val="32"/>
        </w:rPr>
      </w:pPr>
      <w:r>
        <w:rPr>
          <w:rFonts w:hint="eastAsia"/>
          <w:sz w:val="24"/>
          <w:szCs w:val="32"/>
        </w:rPr>
        <w:t>乙方（代理方）： ECOPV ApS</w:t>
      </w:r>
    </w:p>
    <w:p>
      <w:pPr>
        <w:rPr>
          <w:rFonts w:hint="eastAsia"/>
          <w:sz w:val="24"/>
          <w:szCs w:val="32"/>
        </w:rPr>
      </w:pPr>
    </w:p>
    <w:p>
      <w:pPr>
        <w:rPr>
          <w:rFonts w:hint="eastAsia"/>
          <w:sz w:val="24"/>
          <w:szCs w:val="32"/>
        </w:rPr>
      </w:pPr>
      <w:r>
        <w:rPr>
          <w:rFonts w:hint="eastAsia"/>
          <w:sz w:val="24"/>
          <w:szCs w:val="32"/>
        </w:rPr>
        <w:t>Address: Njalsgade 21 F 2., 2300 Kobenhavn S, Denmark</w:t>
      </w:r>
    </w:p>
    <w:p>
      <w:pPr>
        <w:rPr>
          <w:rFonts w:hint="eastAsia"/>
          <w:sz w:val="24"/>
          <w:szCs w:val="32"/>
        </w:rPr>
      </w:pPr>
      <w:r>
        <w:rPr>
          <w:rFonts w:hint="eastAsia"/>
          <w:sz w:val="24"/>
          <w:szCs w:val="32"/>
        </w:rPr>
        <w:t>地址：Njalsgade 21 F 2., 2300 Kobenhavn S, Denmark</w:t>
      </w:r>
    </w:p>
    <w:p>
      <w:pPr>
        <w:rPr>
          <w:rFonts w:hint="eastAsia"/>
          <w:sz w:val="24"/>
          <w:szCs w:val="32"/>
        </w:rPr>
      </w:pPr>
    </w:p>
    <w:p>
      <w:pPr>
        <w:rPr>
          <w:rFonts w:hint="eastAsia"/>
          <w:sz w:val="24"/>
          <w:szCs w:val="32"/>
        </w:rPr>
      </w:pPr>
      <w:r>
        <w:rPr>
          <w:rFonts w:hint="eastAsia"/>
          <w:sz w:val="24"/>
          <w:szCs w:val="32"/>
        </w:rPr>
        <w:t>Contact Person: Lin Huang</w:t>
      </w:r>
    </w:p>
    <w:p>
      <w:pPr>
        <w:rPr>
          <w:rFonts w:hint="default" w:eastAsiaTheme="minorEastAsia"/>
          <w:sz w:val="24"/>
          <w:szCs w:val="32"/>
          <w:lang w:val="en-US" w:eastAsia="zh-CN"/>
        </w:rPr>
      </w:pPr>
      <w:r>
        <w:rPr>
          <w:rFonts w:hint="eastAsia"/>
          <w:sz w:val="24"/>
          <w:szCs w:val="32"/>
        </w:rPr>
        <w:t>联系人：</w:t>
      </w:r>
      <w:r>
        <w:rPr>
          <w:rFonts w:hint="eastAsia"/>
          <w:sz w:val="24"/>
          <w:szCs w:val="32"/>
          <w:lang w:val="en-US" w:eastAsia="zh-CN"/>
        </w:rPr>
        <w:t>黄麟</w:t>
      </w:r>
    </w:p>
    <w:p>
      <w:pPr>
        <w:rPr>
          <w:rFonts w:hint="eastAsia"/>
          <w:sz w:val="24"/>
          <w:szCs w:val="32"/>
        </w:rPr>
      </w:pPr>
    </w:p>
    <w:p>
      <w:pPr>
        <w:rPr>
          <w:rFonts w:hint="eastAsia"/>
          <w:sz w:val="24"/>
          <w:szCs w:val="32"/>
        </w:rPr>
      </w:pPr>
      <w:r>
        <w:rPr>
          <w:rFonts w:hint="eastAsia"/>
          <w:sz w:val="24"/>
          <w:szCs w:val="32"/>
        </w:rPr>
        <w:t>Telephone:</w:t>
      </w:r>
    </w:p>
    <w:p>
      <w:pPr>
        <w:rPr>
          <w:rFonts w:hint="eastAsia"/>
          <w:sz w:val="24"/>
          <w:szCs w:val="32"/>
        </w:rPr>
      </w:pPr>
      <w:r>
        <w:rPr>
          <w:rFonts w:hint="eastAsia"/>
          <w:sz w:val="24"/>
          <w:szCs w:val="32"/>
        </w:rPr>
        <w:t>电话：</w:t>
      </w:r>
    </w:p>
    <w:p>
      <w:pPr>
        <w:rPr>
          <w:rFonts w:hint="eastAsia"/>
          <w:sz w:val="24"/>
          <w:szCs w:val="32"/>
        </w:rPr>
      </w:pPr>
    </w:p>
    <w:p>
      <w:pPr>
        <w:rPr>
          <w:rFonts w:hint="eastAsia"/>
          <w:sz w:val="24"/>
          <w:szCs w:val="32"/>
        </w:rPr>
      </w:pPr>
      <w:r>
        <w:rPr>
          <w:rFonts w:hint="eastAsia"/>
          <w:sz w:val="24"/>
          <w:szCs w:val="32"/>
        </w:rPr>
        <w:t>Email: info@ecopv-eu.com</w:t>
      </w:r>
    </w:p>
    <w:p>
      <w:pPr>
        <w:rPr>
          <w:rFonts w:hint="eastAsia"/>
          <w:sz w:val="24"/>
          <w:szCs w:val="32"/>
        </w:rPr>
      </w:pPr>
      <w:r>
        <w:rPr>
          <w:rFonts w:hint="eastAsia"/>
          <w:sz w:val="24"/>
          <w:szCs w:val="32"/>
        </w:rPr>
        <w:t>邮箱：info@ecopv-eu.com</w:t>
      </w:r>
    </w:p>
    <w:p>
      <w:pPr>
        <w:rPr>
          <w:rFonts w:hint="eastAsia"/>
          <w:sz w:val="24"/>
          <w:szCs w:val="32"/>
        </w:rPr>
      </w:pPr>
    </w:p>
    <w:p>
      <w:pPr>
        <w:rPr>
          <w:rFonts w:hint="eastAsia"/>
          <w:sz w:val="24"/>
          <w:szCs w:val="32"/>
        </w:rPr>
      </w:pPr>
      <w:r>
        <w:rPr>
          <w:rFonts w:hint="eastAsia"/>
          <w:sz w:val="24"/>
          <w:szCs w:val="32"/>
        </w:rPr>
        <w:t>Based on the principles of equality, mutual benefit, and good faith, and in accordance with relevant legal provisions, Party A entrusts Party B to handle EPR registration and related matters. Through friendly negotiation, both parties have reached the following contract for mutual compliance.</w:t>
      </w:r>
    </w:p>
    <w:p>
      <w:pPr>
        <w:rPr>
          <w:rFonts w:hint="eastAsia"/>
          <w:sz w:val="24"/>
          <w:szCs w:val="32"/>
        </w:rPr>
      </w:pPr>
      <w:r>
        <w:rPr>
          <w:rFonts w:hint="eastAsia"/>
          <w:sz w:val="24"/>
          <w:szCs w:val="32"/>
        </w:rPr>
        <w:t>甲乙双方本着平等互利、诚实信用的原则，根据相关法律规定，就甲方委托乙方办理 EPR 注册及相关事务，双方经过友好协商达成如下合同，以兹双方共同遵守：</w:t>
      </w:r>
    </w:p>
    <w:p>
      <w:pPr>
        <w:rPr>
          <w:rFonts w:hint="eastAsia"/>
          <w:sz w:val="24"/>
          <w:szCs w:val="32"/>
        </w:rPr>
      </w:pPr>
    </w:p>
    <w:p>
      <w:pPr>
        <w:rPr>
          <w:rFonts w:hint="eastAsia"/>
          <w:sz w:val="24"/>
          <w:szCs w:val="32"/>
        </w:rPr>
      </w:pPr>
      <w:r>
        <w:rPr>
          <w:rFonts w:hint="eastAsia"/>
          <w:sz w:val="24"/>
          <w:szCs w:val="32"/>
        </w:rPr>
        <w:t>I. EPR Registration Service Entrustment Items</w:t>
      </w:r>
    </w:p>
    <w:p>
      <w:pPr>
        <w:rPr>
          <w:rFonts w:hint="eastAsia"/>
          <w:sz w:val="24"/>
          <w:szCs w:val="32"/>
        </w:rPr>
      </w:pPr>
      <w:r>
        <w:rPr>
          <w:rFonts w:hint="eastAsia"/>
          <w:sz w:val="24"/>
          <w:szCs w:val="32"/>
        </w:rPr>
        <w:t>一、 EPR 注册服务委托项目</w:t>
      </w:r>
    </w:p>
    <w:p>
      <w:pPr>
        <w:rPr>
          <w:rFonts w:hint="eastAsia"/>
          <w:sz w:val="24"/>
          <w:szCs w:val="32"/>
        </w:rPr>
      </w:pPr>
    </w:p>
    <w:p>
      <w:pPr>
        <w:rPr>
          <w:rFonts w:hint="eastAsia"/>
          <w:sz w:val="24"/>
          <w:szCs w:val="32"/>
        </w:rPr>
      </w:pPr>
      <w:r>
        <w:rPr>
          <w:rFonts w:hint="eastAsia"/>
          <w:sz w:val="24"/>
          <w:szCs w:val="32"/>
        </w:rPr>
        <w:t>(I) Party A entrusts Party B to act as the primary contact for Party A's customers regarding Extended Producer's Responsibility (EPR) compliance matters (including WEEE, Battery Law, Packaging Law, Single-Use Plastics Law, etc., hereinafter referred to as "EPR") in specified countries, responsible for the business consultation work, registration processing, and declaration matters for Party A's customers as listed in the supplementary agreement to this contract. Party B charges a service fee and provides compliance consultation for the relevant countries, reviews documents and materials, assists in submitting registration materials, quantity declarations, and communication regarding EPR aspects for Party A's customers in the respective countries. If losses are incurred by Party A's customers due to reasons attributable to local institutions, Party B will assist in communication but shall not bear joint liability.</w:t>
      </w:r>
    </w:p>
    <w:p>
      <w:pPr>
        <w:rPr>
          <w:rFonts w:hint="eastAsia"/>
          <w:sz w:val="24"/>
          <w:szCs w:val="32"/>
        </w:rPr>
      </w:pPr>
      <w:r>
        <w:rPr>
          <w:rFonts w:hint="eastAsia"/>
          <w:sz w:val="24"/>
          <w:szCs w:val="32"/>
        </w:rPr>
        <w:t>（一）甲方委托乙方作为甲方客户在指定的国家中有关生产者责任延伸制度（英文全称：Extended Producer's Responsibility）合规事务（包含 WEEE（电子电器法）、电池法、包装法、一次性塑料法等业务，以下简称"EPR"）的主要联系人，负责甲方客户在本合同补充协议中所列出的业务咨询工作，注册办理和申报事宜。乙方收取服务费，提供相关国家的合规咨询，审核文件资料，协助递交注册材料，数量申报，以及甲方客户在相应国家的 EPR 方面的沟通。如果因为当地机构原因造成甲方客户的损失，乙方会协助沟通，但是不承担连带责任。</w:t>
      </w:r>
    </w:p>
    <w:p>
      <w:pPr>
        <w:rPr>
          <w:rFonts w:hint="eastAsia"/>
          <w:sz w:val="24"/>
          <w:szCs w:val="32"/>
        </w:rPr>
      </w:pPr>
    </w:p>
    <w:p>
      <w:pPr>
        <w:rPr>
          <w:rFonts w:hint="eastAsia"/>
          <w:sz w:val="24"/>
          <w:szCs w:val="32"/>
        </w:rPr>
      </w:pPr>
      <w:r>
        <w:rPr>
          <w:rFonts w:hint="eastAsia"/>
          <w:sz w:val="24"/>
          <w:szCs w:val="32"/>
        </w:rPr>
        <w:t>(II) Service Price</w:t>
      </w:r>
    </w:p>
    <w:p>
      <w:pPr>
        <w:rPr>
          <w:rFonts w:hint="eastAsia"/>
          <w:sz w:val="24"/>
          <w:szCs w:val="32"/>
        </w:rPr>
      </w:pPr>
      <w:r>
        <w:rPr>
          <w:rFonts w:hint="eastAsia"/>
          <w:sz w:val="24"/>
          <w:szCs w:val="32"/>
        </w:rPr>
        <w:t>（二）服务价格</w:t>
      </w:r>
    </w:p>
    <w:p>
      <w:pPr>
        <w:rPr>
          <w:rFonts w:hint="eastAsia"/>
          <w:sz w:val="24"/>
          <w:szCs w:val="32"/>
        </w:rPr>
      </w:pPr>
    </w:p>
    <w:p>
      <w:pPr>
        <w:rPr>
          <w:rFonts w:hint="eastAsia"/>
          <w:sz w:val="24"/>
          <w:szCs w:val="32"/>
        </w:rPr>
      </w:pPr>
      <w:r>
        <w:rPr>
          <w:rFonts w:hint="eastAsia"/>
          <w:sz w:val="24"/>
          <w:szCs w:val="32"/>
        </w:rPr>
        <w:t>The price for EPR registration service packages and the price for adding new brands and categories shall be negotiated by both parties and stipulated in a separate supplementary agreement. Such separately signed supplementary agreements shall have the same legal effect as this agreement.</w:t>
      </w:r>
    </w:p>
    <w:p>
      <w:pPr>
        <w:numPr>
          <w:ilvl w:val="0"/>
          <w:numId w:val="1"/>
        </w:numPr>
        <w:rPr>
          <w:rFonts w:hint="eastAsia"/>
          <w:sz w:val="24"/>
          <w:szCs w:val="32"/>
        </w:rPr>
      </w:pPr>
      <w:r>
        <w:rPr>
          <w:rFonts w:hint="eastAsia"/>
          <w:sz w:val="24"/>
          <w:szCs w:val="32"/>
        </w:rPr>
        <w:t>EPR 注册服务等套餐的价格与新增品牌和类别的价格由双方协商并另行签订补充协议，另行签订的补充协议与本协议具有同等法律效力。</w:t>
      </w:r>
    </w:p>
    <w:p>
      <w:pPr>
        <w:numPr>
          <w:numId w:val="0"/>
        </w:numPr>
        <w:rPr>
          <w:rFonts w:hint="default"/>
          <w:color w:val="FF0000"/>
          <w:sz w:val="24"/>
          <w:szCs w:val="32"/>
          <w:woUserID w:val="1"/>
        </w:rPr>
      </w:pPr>
      <w:bookmarkStart w:id="0" w:name="_GoBack"/>
      <w:r>
        <w:rPr>
          <w:rFonts w:hint="default"/>
          <w:color w:val="FF0000"/>
          <w:sz w:val="24"/>
          <w:szCs w:val="32"/>
          <w:woUserID w:val="1"/>
        </w:rPr>
        <w:t>(The fees for services and registrations under this Contract are determined based on the official fee regulations for 2026 issued by the German legislative body. Should the aforementioned fee regulations be amended or new fees be introduced（Including but not limited to the addition of OfH fees under the German Battery Act）, Party B shall have the right to adjust the prices accordingly, with the final amount subject to the officially effective regulations at that time. Party A confirms and accepts this price adjustment mechanism.)</w:t>
      </w:r>
    </w:p>
    <w:p>
      <w:pPr>
        <w:numPr>
          <w:numId w:val="0"/>
        </w:numPr>
        <w:rPr>
          <w:rFonts w:hint="default"/>
          <w:color w:val="FF0000"/>
          <w:sz w:val="24"/>
          <w:szCs w:val="32"/>
          <w:woUserID w:val="1"/>
        </w:rPr>
      </w:pPr>
      <w:r>
        <w:rPr>
          <w:rFonts w:hint="default"/>
          <w:color w:val="FF0000"/>
          <w:sz w:val="24"/>
          <w:szCs w:val="32"/>
          <w:woUserID w:val="1"/>
        </w:rPr>
        <w:t>(本合同项下服务及注册的费用，依据德国立法机构发布的2026年官方收费条例确定。若前述收费条例发生修订或产生新增费用（包括但不限于德国电池法加入OfH费用），乙方有权相应调整价格，最终金额以届时有效的官方规定为准。甲方对此价格调整机制予以确认和接受。)</w:t>
      </w:r>
    </w:p>
    <w:bookmarkEnd w:id="0"/>
    <w:p>
      <w:pPr>
        <w:rPr>
          <w:rFonts w:hint="eastAsia"/>
          <w:sz w:val="24"/>
          <w:szCs w:val="32"/>
        </w:rPr>
      </w:pPr>
    </w:p>
    <w:p>
      <w:pPr>
        <w:rPr>
          <w:rFonts w:hint="eastAsia"/>
          <w:sz w:val="24"/>
          <w:szCs w:val="32"/>
        </w:rPr>
      </w:pPr>
      <w:r>
        <w:rPr>
          <w:rFonts w:hint="eastAsia"/>
          <w:sz w:val="24"/>
          <w:szCs w:val="32"/>
        </w:rPr>
        <w:t>Order Cancellation and Deregistration: When Party A's customer requests order cancellation or deregistration, corresponding fees will be incurred. Details are specified in the supplementary agreement.</w:t>
      </w:r>
    </w:p>
    <w:p>
      <w:pPr>
        <w:rPr>
          <w:rFonts w:hint="eastAsia"/>
          <w:sz w:val="24"/>
          <w:szCs w:val="32"/>
        </w:rPr>
      </w:pPr>
      <w:r>
        <w:rPr>
          <w:rFonts w:hint="eastAsia"/>
          <w:sz w:val="24"/>
          <w:szCs w:val="32"/>
        </w:rPr>
        <w:t>2. 撤单和注销：当甲方客户要求撤单或注销时，会产生相应的费用，详情见补充协议。</w:t>
      </w:r>
    </w:p>
    <w:p>
      <w:pPr>
        <w:rPr>
          <w:rFonts w:hint="eastAsia"/>
          <w:sz w:val="24"/>
          <w:szCs w:val="32"/>
        </w:rPr>
      </w:pPr>
    </w:p>
    <w:p>
      <w:pPr>
        <w:rPr>
          <w:rFonts w:hint="eastAsia"/>
          <w:sz w:val="24"/>
          <w:szCs w:val="32"/>
        </w:rPr>
      </w:pPr>
      <w:r>
        <w:rPr>
          <w:rFonts w:hint="eastAsia"/>
          <w:sz w:val="24"/>
          <w:szCs w:val="32"/>
        </w:rPr>
        <w:t>(III) Payment:</w:t>
      </w:r>
    </w:p>
    <w:p>
      <w:pPr>
        <w:rPr>
          <w:rFonts w:hint="eastAsia"/>
          <w:sz w:val="24"/>
          <w:szCs w:val="32"/>
        </w:rPr>
      </w:pPr>
      <w:r>
        <w:rPr>
          <w:rFonts w:hint="eastAsia"/>
          <w:sz w:val="24"/>
          <w:szCs w:val="32"/>
        </w:rPr>
        <w:t>（三）付款：</w:t>
      </w:r>
    </w:p>
    <w:p>
      <w:pPr>
        <w:rPr>
          <w:rFonts w:hint="eastAsia"/>
          <w:sz w:val="24"/>
          <w:szCs w:val="32"/>
        </w:rPr>
      </w:pPr>
    </w:p>
    <w:p>
      <w:pPr>
        <w:rPr>
          <w:rFonts w:hint="eastAsia"/>
          <w:sz w:val="24"/>
          <w:szCs w:val="32"/>
        </w:rPr>
      </w:pPr>
      <w:r>
        <w:rPr>
          <w:rFonts w:hint="eastAsia"/>
          <w:sz w:val="24"/>
          <w:szCs w:val="32"/>
        </w:rPr>
        <w:t>The collection and settlement process for service fees of orders is as follows:</w:t>
      </w:r>
    </w:p>
    <w:p>
      <w:pPr>
        <w:numPr>
          <w:ilvl w:val="0"/>
          <w:numId w:val="2"/>
        </w:numPr>
        <w:rPr>
          <w:rFonts w:hint="eastAsia"/>
          <w:sz w:val="24"/>
          <w:szCs w:val="32"/>
        </w:rPr>
      </w:pPr>
      <w:r>
        <w:rPr>
          <w:rFonts w:hint="eastAsia"/>
          <w:sz w:val="24"/>
          <w:szCs w:val="32"/>
        </w:rPr>
        <w:t>订单的服务费的收取与结算流程如下：</w:t>
      </w:r>
    </w:p>
    <w:p>
      <w:pPr>
        <w:rPr>
          <w:rFonts w:hint="eastAsia"/>
          <w:sz w:val="24"/>
          <w:szCs w:val="32"/>
        </w:rPr>
      </w:pPr>
    </w:p>
    <w:p>
      <w:pPr>
        <w:rPr>
          <w:rFonts w:hint="eastAsia"/>
          <w:sz w:val="24"/>
          <w:szCs w:val="32"/>
        </w:rPr>
      </w:pPr>
      <w:r>
        <w:rPr>
          <w:rFonts w:hint="eastAsia"/>
          <w:sz w:val="24"/>
          <w:szCs w:val="32"/>
        </w:rPr>
        <w:t>For the initial order, after Party B receives the registration materials, Party B shall issue an invoice corresponding to the number of customers. Party A shall pay within 3 working days after receiving the invoice. After confirming receipt of payment, Party B shall submit the registration materials to the relevant institutions within 3 working days and shall complete the issuance of the official invoice to Party A within 10 working days thereafter (unless Party B is not legally required to bear taxes).</w:t>
      </w:r>
    </w:p>
    <w:p>
      <w:pPr>
        <w:rPr>
          <w:rFonts w:hint="eastAsia"/>
          <w:sz w:val="24"/>
          <w:szCs w:val="32"/>
        </w:rPr>
      </w:pPr>
      <w:r>
        <w:rPr>
          <w:rFonts w:hint="eastAsia"/>
          <w:sz w:val="24"/>
          <w:szCs w:val="32"/>
        </w:rPr>
        <w:t>就首次订单，乙方在收到注册资料后，向甲方出具对应客户数量的服务费账单，甲方应在收到账单后3个工作日内支付。乙方确认收款后，应在3个工作日内向相关机构递交注册资料，并在此后10个工作日内向甲方完成发票开具（依法无需乙方承担税费的情形除外）。</w:t>
      </w:r>
    </w:p>
    <w:p>
      <w:pPr>
        <w:rPr>
          <w:rFonts w:hint="eastAsia"/>
          <w:sz w:val="24"/>
          <w:szCs w:val="32"/>
        </w:rPr>
      </w:pPr>
    </w:p>
    <w:p>
      <w:pPr>
        <w:rPr>
          <w:rFonts w:hint="eastAsia"/>
          <w:sz w:val="24"/>
          <w:szCs w:val="32"/>
        </w:rPr>
      </w:pPr>
      <w:r>
        <w:rPr>
          <w:rFonts w:hint="eastAsia"/>
          <w:sz w:val="24"/>
          <w:szCs w:val="32"/>
        </w:rPr>
        <w:t>Starting from the second order, Party B shall issue an invoice to Party A for the service fees incurred in the previous calendar month within the first 5 working days of each month. Party A shall complete the payment within 15 working days after receiving the invoice.</w:t>
      </w:r>
    </w:p>
    <w:p>
      <w:pPr>
        <w:rPr>
          <w:rFonts w:hint="eastAsia"/>
          <w:sz w:val="24"/>
          <w:szCs w:val="32"/>
        </w:rPr>
      </w:pPr>
      <w:r>
        <w:rPr>
          <w:rFonts w:hint="eastAsia"/>
          <w:sz w:val="24"/>
          <w:szCs w:val="32"/>
        </w:rPr>
        <w:t>自第二次订单起，乙方将于每月前5个工作日内，就上一自然月产生的服务费向甲方出具账单，甲方应在收到账单后15个工作日内完成支付。</w:t>
      </w:r>
    </w:p>
    <w:p>
      <w:pPr>
        <w:rPr>
          <w:rFonts w:hint="eastAsia"/>
          <w:sz w:val="24"/>
          <w:szCs w:val="32"/>
        </w:rPr>
      </w:pPr>
    </w:p>
    <w:p>
      <w:pPr>
        <w:rPr>
          <w:rFonts w:hint="eastAsia"/>
          <w:sz w:val="24"/>
          <w:szCs w:val="32"/>
        </w:rPr>
      </w:pPr>
      <w:r>
        <w:rPr>
          <w:rFonts w:hint="eastAsia"/>
          <w:sz w:val="24"/>
          <w:szCs w:val="32"/>
        </w:rPr>
        <w:t>Party A shall bear all remittance handling charges incurred during the payment process to Party B. The amount actually received by Party B shall be exactly the same as the invoice amount. If the amount actually received by Party B is less than the invoice amount due to reasons attributable to Party A, Party A shall make up the difference within 5 working days after being notified of the shortfall by Party B.</w:t>
      </w:r>
    </w:p>
    <w:p>
      <w:pPr>
        <w:rPr>
          <w:rFonts w:hint="eastAsia"/>
          <w:sz w:val="24"/>
          <w:szCs w:val="32"/>
        </w:rPr>
      </w:pPr>
      <w:r>
        <w:rPr>
          <w:rFonts w:hint="eastAsia"/>
          <w:sz w:val="24"/>
          <w:szCs w:val="32"/>
        </w:rPr>
        <w:t>2. 甲方承担其向乙方支付款项过程中产生的全部汇款手续费，乙方实际收到的款项应与账单金额完全一致。如因甲方原因导致乙方实收到账金额少于账单金额，甲方应在收到乙方告知的差额后5个工作日内将差额部分补足。</w:t>
      </w:r>
    </w:p>
    <w:p>
      <w:pPr>
        <w:rPr>
          <w:rFonts w:hint="eastAsia"/>
          <w:sz w:val="24"/>
          <w:szCs w:val="32"/>
        </w:rPr>
      </w:pPr>
    </w:p>
    <w:p>
      <w:pPr>
        <w:rPr>
          <w:rFonts w:hint="eastAsia"/>
          <w:sz w:val="24"/>
          <w:szCs w:val="32"/>
        </w:rPr>
      </w:pPr>
      <w:r>
        <w:rPr>
          <w:rFonts w:hint="eastAsia"/>
          <w:sz w:val="24"/>
          <w:szCs w:val="32"/>
        </w:rPr>
        <w:t>To protect your rights, please pay all amounts under this contract to the following bank account designated by Party B:</w:t>
      </w:r>
    </w:p>
    <w:p>
      <w:pPr>
        <w:numPr>
          <w:ilvl w:val="0"/>
          <w:numId w:val="2"/>
        </w:numPr>
        <w:ind w:left="0" w:leftChars="0" w:firstLine="0" w:firstLineChars="0"/>
        <w:rPr>
          <w:rFonts w:hint="eastAsia"/>
          <w:sz w:val="24"/>
          <w:szCs w:val="32"/>
        </w:rPr>
      </w:pPr>
      <w:r>
        <w:rPr>
          <w:rFonts w:hint="eastAsia"/>
          <w:sz w:val="24"/>
          <w:szCs w:val="32"/>
        </w:rPr>
        <w:t>为保障贵方权益，本合同项下一切款项，请支付至以下乙方指定银行账户：</w:t>
      </w:r>
    </w:p>
    <w:p>
      <w:pPr>
        <w:numPr>
          <w:ilvl w:val="0"/>
          <w:numId w:val="0"/>
        </w:numPr>
        <w:ind w:leftChars="0"/>
        <w:rPr>
          <w:rFonts w:hint="eastAsia"/>
          <w:sz w:val="24"/>
          <w:szCs w:val="32"/>
        </w:rPr>
      </w:pPr>
    </w:p>
    <w:tbl>
      <w:tblPr>
        <w:tblStyle w:val="8"/>
        <w:tblW w:w="10017" w:type="dxa"/>
        <w:tblInd w:w="27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155"/>
        <w:gridCol w:w="6862"/>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482" w:hRule="atLeast"/>
        </w:trPr>
        <w:tc>
          <w:tcPr>
            <w:tcW w:w="10017" w:type="dxa"/>
            <w:gridSpan w:val="2"/>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top"/>
          </w:tcPr>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kinsoku w:val="0"/>
              <w:wordWrap/>
              <w:overflowPunct/>
              <w:topLinePunct w:val="0"/>
              <w:autoSpaceDE w:val="0"/>
              <w:autoSpaceDN w:val="0"/>
              <w:bidi w:val="0"/>
              <w:adjustRightInd w:val="0"/>
              <w:snapToGrid w:val="0"/>
              <w:spacing w:before="59" w:after="0" w:line="300" w:lineRule="auto"/>
              <w:ind w:left="4273" w:right="0" w:firstLine="0"/>
              <w:jc w:val="left"/>
              <w:textAlignment w:val="baseline"/>
              <w:rPr>
                <w:rFonts w:hint="default" w:eastAsia="宋体" w:asciiTheme="minorAscii" w:hAnsiTheme="minorAscii" w:cstheme="minorEastAsia"/>
                <w:b w:val="0"/>
                <w:i w:val="0"/>
                <w:smallCaps w:val="0"/>
                <w:strike w:val="0"/>
                <w:color w:val="000000"/>
                <w:sz w:val="24"/>
                <w:szCs w:val="24"/>
                <w:u w:val="none"/>
                <w:shd w:val="clear" w:fill="auto"/>
                <w:vertAlign w:val="baseline"/>
                <w:lang w:val="en-US" w:eastAsia="zh-CN"/>
              </w:rPr>
            </w:pPr>
            <w:r>
              <w:rPr>
                <w:rFonts w:hint="default" w:eastAsia="宋体" w:cs="宋体" w:asciiTheme="minorAscii" w:hAnsiTheme="minorAscii"/>
                <w:b w:val="0"/>
                <w:i w:val="0"/>
                <w:smallCaps w:val="0"/>
                <w:strike w:val="0"/>
                <w:color w:val="000000"/>
                <w:sz w:val="24"/>
                <w:szCs w:val="24"/>
                <w:u w:val="none"/>
                <w:shd w:val="clear" w:fill="auto"/>
                <w:vertAlign w:val="baseline"/>
                <w:rtl w:val="0"/>
              </w:rPr>
              <w:t>对公欧元账户</w:t>
            </w:r>
            <w:r>
              <w:rPr>
                <w:rFonts w:hint="eastAsia" w:eastAsia="宋体" w:cs="宋体" w:asciiTheme="minorAscii" w:hAnsiTheme="minorAscii"/>
                <w:b w:val="0"/>
                <w:i w:val="0"/>
                <w:smallCaps w:val="0"/>
                <w:strike w:val="0"/>
                <w:color w:val="000000"/>
                <w:sz w:val="24"/>
                <w:szCs w:val="24"/>
                <w:u w:val="none"/>
                <w:shd w:val="clear" w:fill="auto"/>
                <w:vertAlign w:val="baseline"/>
                <w:rtl w:val="0"/>
                <w:lang w:val="en-US" w:eastAsia="zh-CN"/>
              </w:rPr>
              <w:t xml:space="preserve">  </w:t>
            </w:r>
            <w:r>
              <w:rPr>
                <w:rFonts w:hint="eastAsia"/>
                <w:sz w:val="24"/>
                <w:szCs w:val="32"/>
              </w:rPr>
              <w:t xml:space="preserve">Euro </w:t>
            </w:r>
            <w:r>
              <w:rPr>
                <w:rFonts w:hint="eastAsia"/>
                <w:sz w:val="24"/>
                <w:szCs w:val="32"/>
                <w:lang w:val="en-US" w:eastAsia="zh-CN"/>
              </w:rPr>
              <w:t xml:space="preserve">Bank </w:t>
            </w:r>
            <w:r>
              <w:rPr>
                <w:rFonts w:hint="eastAsia"/>
                <w:sz w:val="24"/>
                <w:szCs w:val="32"/>
              </w:rPr>
              <w:t>Account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558" w:hRule="atLeast"/>
        </w:trPr>
        <w:tc>
          <w:tcPr>
            <w:tcW w:w="3155"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top"/>
          </w:tcPr>
          <w:p>
            <w:pPr>
              <w:keepNext w:val="0"/>
              <w:keepLines w:val="0"/>
              <w:pageBreakBefore w:val="0"/>
              <w:widowControl/>
              <w:numPr>
                <w:ilvl w:val="0"/>
                <w:numId w:val="0"/>
              </w:numPr>
              <w:pBdr>
                <w:top w:val="none" w:color="auto" w:sz="0" w:space="0"/>
                <w:left w:val="none" w:color="auto" w:sz="0" w:space="0"/>
                <w:bottom w:val="none" w:color="auto" w:sz="0" w:space="0"/>
                <w:right w:val="none" w:color="auto" w:sz="0" w:space="0"/>
                <w:between w:val="none" w:color="auto" w:sz="0" w:space="0"/>
              </w:pBdr>
              <w:shd w:val="clear" w:fill="auto"/>
              <w:kinsoku w:val="0"/>
              <w:wordWrap/>
              <w:overflowPunct/>
              <w:topLinePunct w:val="0"/>
              <w:autoSpaceDE w:val="0"/>
              <w:autoSpaceDN w:val="0"/>
              <w:bidi w:val="0"/>
              <w:adjustRightInd w:val="0"/>
              <w:snapToGrid w:val="0"/>
              <w:spacing w:before="65" w:after="0" w:line="300" w:lineRule="auto"/>
              <w:ind w:left="480" w:leftChars="0" w:right="70" w:rightChars="0"/>
              <w:jc w:val="left"/>
              <w:textAlignment w:val="baseline"/>
              <w:rPr>
                <w:rFonts w:hint="eastAsia"/>
                <w:sz w:val="24"/>
                <w:szCs w:val="32"/>
              </w:rPr>
            </w:pPr>
            <w:r>
              <w:rPr>
                <w:rFonts w:hint="eastAsia"/>
                <w:sz w:val="24"/>
                <w:szCs w:val="32"/>
              </w:rPr>
              <w:t>Account Name:</w:t>
            </w:r>
          </w:p>
          <w:p>
            <w:pPr>
              <w:keepNext w:val="0"/>
              <w:keepLines w:val="0"/>
              <w:pageBreakBefore w:val="0"/>
              <w:widowControl/>
              <w:numPr>
                <w:ilvl w:val="0"/>
                <w:numId w:val="0"/>
              </w:numPr>
              <w:pBdr>
                <w:top w:val="none" w:color="auto" w:sz="0" w:space="0"/>
                <w:left w:val="none" w:color="auto" w:sz="0" w:space="0"/>
                <w:bottom w:val="none" w:color="auto" w:sz="0" w:space="0"/>
                <w:right w:val="none" w:color="auto" w:sz="0" w:space="0"/>
                <w:between w:val="none" w:color="auto" w:sz="0" w:space="0"/>
              </w:pBdr>
              <w:shd w:val="clear" w:fill="auto"/>
              <w:kinsoku w:val="0"/>
              <w:wordWrap/>
              <w:overflowPunct/>
              <w:topLinePunct w:val="0"/>
              <w:autoSpaceDE w:val="0"/>
              <w:autoSpaceDN w:val="0"/>
              <w:bidi w:val="0"/>
              <w:adjustRightInd w:val="0"/>
              <w:snapToGrid w:val="0"/>
              <w:spacing w:before="65" w:after="0" w:line="300" w:lineRule="auto"/>
              <w:ind w:left="480" w:leftChars="0" w:right="70" w:rightChars="0"/>
              <w:jc w:val="left"/>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rPr>
            </w:pPr>
            <w:r>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t>账户</w:t>
            </w:r>
            <w:r>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rPr>
              <w:t>名称：</w:t>
            </w:r>
          </w:p>
        </w:tc>
        <w:tc>
          <w:tcPr>
            <w:tcW w:w="6862"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top"/>
          </w:tcPr>
          <w:p>
            <w:pPr>
              <w:keepNext w:val="0"/>
              <w:keepLines w:val="0"/>
              <w:pageBreakBefore w:val="0"/>
              <w:widowControl/>
              <w:numPr>
                <w:ilvl w:val="0"/>
                <w:numId w:val="0"/>
              </w:numPr>
              <w:pBdr>
                <w:top w:val="none" w:color="auto" w:sz="0" w:space="0"/>
                <w:left w:val="none" w:color="auto" w:sz="0" w:space="0"/>
                <w:bottom w:val="none" w:color="auto" w:sz="0" w:space="0"/>
                <w:right w:val="none" w:color="auto" w:sz="0" w:space="0"/>
                <w:between w:val="none" w:color="auto" w:sz="0" w:space="0"/>
              </w:pBdr>
              <w:shd w:val="clear" w:fill="auto"/>
              <w:kinsoku w:val="0"/>
              <w:wordWrap/>
              <w:overflowPunct/>
              <w:topLinePunct w:val="0"/>
              <w:autoSpaceDE w:val="0"/>
              <w:autoSpaceDN w:val="0"/>
              <w:bidi w:val="0"/>
              <w:adjustRightInd w:val="0"/>
              <w:snapToGrid w:val="0"/>
              <w:spacing w:before="65" w:after="0" w:line="300" w:lineRule="auto"/>
              <w:ind w:left="0" w:leftChars="0" w:right="70" w:rightChars="0" w:firstLine="480" w:firstLineChars="0"/>
              <w:jc w:val="left"/>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606" w:hRule="atLeast"/>
        </w:trPr>
        <w:tc>
          <w:tcPr>
            <w:tcW w:w="3155"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top"/>
          </w:tcPr>
          <w:sdt>
            <w:sdtPr>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rPr>
              <w:tag w:val="goog_rdk_1"/>
              <w:id w:val="147461248"/>
            </w:sdtPr>
            <w:sdtEndPr>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rPr>
            </w:sdtEndPr>
            <w:sdtContent>
              <w:p>
                <w:pPr>
                  <w:keepNext w:val="0"/>
                  <w:keepLines w:val="0"/>
                  <w:pageBreakBefore w:val="0"/>
                  <w:widowControl/>
                  <w:numPr>
                    <w:ilvl w:val="0"/>
                    <w:numId w:val="0"/>
                  </w:numPr>
                  <w:pBdr>
                    <w:top w:val="none" w:color="auto" w:sz="0" w:space="0"/>
                    <w:left w:val="none" w:color="auto" w:sz="0" w:space="0"/>
                    <w:bottom w:val="none" w:color="auto" w:sz="0" w:space="0"/>
                    <w:right w:val="none" w:color="auto" w:sz="0" w:space="0"/>
                    <w:between w:val="none" w:color="auto" w:sz="0" w:space="0"/>
                  </w:pBdr>
                  <w:shd w:val="clear" w:fill="auto"/>
                  <w:kinsoku w:val="0"/>
                  <w:wordWrap/>
                  <w:overflowPunct/>
                  <w:topLinePunct w:val="0"/>
                  <w:autoSpaceDE w:val="0"/>
                  <w:autoSpaceDN w:val="0"/>
                  <w:bidi w:val="0"/>
                  <w:adjustRightInd w:val="0"/>
                  <w:snapToGrid w:val="0"/>
                  <w:spacing w:before="65" w:after="0" w:line="300" w:lineRule="auto"/>
                  <w:ind w:left="479" w:leftChars="228" w:right="70" w:rightChars="0" w:firstLine="64" w:firstLineChars="27"/>
                  <w:jc w:val="left"/>
                  <w:textAlignment w:val="baseline"/>
                  <w:rPr>
                    <w:rFonts w:hint="eastAsia"/>
                    <w:sz w:val="24"/>
                    <w:szCs w:val="32"/>
                  </w:rPr>
                </w:pPr>
                <w:r>
                  <w:rPr>
                    <w:rFonts w:hint="eastAsia"/>
                    <w:sz w:val="24"/>
                    <w:szCs w:val="32"/>
                  </w:rPr>
                  <w:t>Account No. / IBAN:</w:t>
                </w:r>
              </w:p>
              <w:p>
                <w:pPr>
                  <w:keepNext w:val="0"/>
                  <w:keepLines w:val="0"/>
                  <w:pageBreakBefore w:val="0"/>
                  <w:widowControl/>
                  <w:numPr>
                    <w:ilvl w:val="0"/>
                    <w:numId w:val="0"/>
                  </w:numPr>
                  <w:pBdr>
                    <w:top w:val="none" w:color="auto" w:sz="0" w:space="0"/>
                    <w:left w:val="none" w:color="auto" w:sz="0" w:space="0"/>
                    <w:bottom w:val="none" w:color="auto" w:sz="0" w:space="0"/>
                    <w:right w:val="none" w:color="auto" w:sz="0" w:space="0"/>
                    <w:between w:val="none" w:color="auto" w:sz="0" w:space="0"/>
                  </w:pBdr>
                  <w:shd w:val="clear" w:fill="auto"/>
                  <w:kinsoku w:val="0"/>
                  <w:wordWrap/>
                  <w:overflowPunct/>
                  <w:topLinePunct w:val="0"/>
                  <w:autoSpaceDE w:val="0"/>
                  <w:autoSpaceDN w:val="0"/>
                  <w:bidi w:val="0"/>
                  <w:adjustRightInd w:val="0"/>
                  <w:snapToGrid w:val="0"/>
                  <w:spacing w:before="65" w:after="0" w:line="300" w:lineRule="auto"/>
                  <w:ind w:left="479" w:leftChars="228" w:right="70" w:rightChars="0" w:firstLine="64" w:firstLineChars="27"/>
                  <w:jc w:val="left"/>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rPr>
                </w:pPr>
                <w:r>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t xml:space="preserve">银行账号/ </w:t>
                </w:r>
                <w:r>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rPr>
                  <w:t>IBAN：</w:t>
                </w:r>
              </w:p>
            </w:sdtContent>
          </w:sdt>
        </w:tc>
        <w:tc>
          <w:tcPr>
            <w:tcW w:w="6862"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top"/>
          </w:tcPr>
          <w:p>
            <w:pPr>
              <w:keepNext w:val="0"/>
              <w:keepLines w:val="0"/>
              <w:pageBreakBefore w:val="0"/>
              <w:widowControl/>
              <w:numPr>
                <w:ilvl w:val="0"/>
                <w:numId w:val="0"/>
              </w:numPr>
              <w:pBdr>
                <w:top w:val="none" w:color="auto" w:sz="0" w:space="0"/>
                <w:left w:val="none" w:color="auto" w:sz="0" w:space="0"/>
                <w:bottom w:val="none" w:color="auto" w:sz="0" w:space="0"/>
                <w:right w:val="none" w:color="auto" w:sz="0" w:space="0"/>
                <w:between w:val="none" w:color="auto" w:sz="0" w:space="0"/>
              </w:pBdr>
              <w:shd w:val="clear" w:fill="auto"/>
              <w:kinsoku w:val="0"/>
              <w:wordWrap/>
              <w:overflowPunct/>
              <w:topLinePunct w:val="0"/>
              <w:autoSpaceDE w:val="0"/>
              <w:autoSpaceDN w:val="0"/>
              <w:bidi w:val="0"/>
              <w:adjustRightInd w:val="0"/>
              <w:snapToGrid w:val="0"/>
              <w:spacing w:before="65" w:after="0" w:line="300" w:lineRule="auto"/>
              <w:ind w:left="0" w:leftChars="0" w:right="70" w:rightChars="0" w:firstLine="480" w:firstLineChars="0"/>
              <w:jc w:val="left"/>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558" w:hRule="atLeast"/>
        </w:trPr>
        <w:tc>
          <w:tcPr>
            <w:tcW w:w="3155"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top"/>
          </w:tcPr>
          <w:sdt>
            <w:sdtPr>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rPr>
              <w:tag w:val="goog_rdk_2"/>
              <w:id w:val="147481331"/>
            </w:sdtPr>
            <w:sdtEndPr>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rPr>
            </w:sdtEndPr>
            <w:sdtContent>
              <w:p>
                <w:pPr>
                  <w:keepNext w:val="0"/>
                  <w:keepLines w:val="0"/>
                  <w:pageBreakBefore w:val="0"/>
                  <w:widowControl/>
                  <w:numPr>
                    <w:ilvl w:val="0"/>
                    <w:numId w:val="0"/>
                  </w:numPr>
                  <w:pBdr>
                    <w:top w:val="none" w:color="auto" w:sz="0" w:space="0"/>
                    <w:left w:val="none" w:color="auto" w:sz="0" w:space="0"/>
                    <w:bottom w:val="none" w:color="auto" w:sz="0" w:space="0"/>
                    <w:right w:val="none" w:color="auto" w:sz="0" w:space="0"/>
                    <w:between w:val="none" w:color="auto" w:sz="0" w:space="0"/>
                  </w:pBdr>
                  <w:shd w:val="clear" w:fill="auto"/>
                  <w:kinsoku w:val="0"/>
                  <w:wordWrap/>
                  <w:overflowPunct/>
                  <w:topLinePunct w:val="0"/>
                  <w:autoSpaceDE w:val="0"/>
                  <w:autoSpaceDN w:val="0"/>
                  <w:bidi w:val="0"/>
                  <w:adjustRightInd w:val="0"/>
                  <w:snapToGrid w:val="0"/>
                  <w:spacing w:before="65" w:after="0" w:line="300" w:lineRule="auto"/>
                  <w:ind w:left="0" w:leftChars="0" w:right="70" w:rightChars="0" w:firstLine="480" w:firstLineChars="0"/>
                  <w:jc w:val="left"/>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rPr>
                </w:pPr>
                <w:r>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rPr>
                  <w:t>BIC：</w:t>
                </w:r>
                <w:r>
                  <w:rPr>
                    <w:rFonts w:hint="eastAsia" w:asciiTheme="minorEastAsia" w:hAnsiTheme="minorEastAsia" w:cstheme="minorEastAsia"/>
                    <w:b w:val="0"/>
                    <w:i w:val="0"/>
                    <w:smallCaps w:val="0"/>
                    <w:strike w:val="0"/>
                    <w:color w:val="000000"/>
                    <w:sz w:val="24"/>
                    <w:szCs w:val="24"/>
                    <w:u w:val="none"/>
                    <w:shd w:val="clear" w:fill="auto"/>
                    <w:vertAlign w:val="baseline"/>
                    <w:rtl w:val="0"/>
                    <w:lang w:val="en-US" w:eastAsia="zh-CN"/>
                  </w:rPr>
                  <w:t>银行识别代码：</w:t>
                </w:r>
              </w:p>
            </w:sdtContent>
          </w:sdt>
        </w:tc>
        <w:tc>
          <w:tcPr>
            <w:tcW w:w="6862"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top"/>
          </w:tcPr>
          <w:p>
            <w:pPr>
              <w:keepNext w:val="0"/>
              <w:keepLines w:val="0"/>
              <w:pageBreakBefore w:val="0"/>
              <w:widowControl/>
              <w:numPr>
                <w:ilvl w:val="0"/>
                <w:numId w:val="0"/>
              </w:numPr>
              <w:pBdr>
                <w:top w:val="none" w:color="auto" w:sz="0" w:space="0"/>
                <w:left w:val="none" w:color="auto" w:sz="0" w:space="0"/>
                <w:bottom w:val="none" w:color="auto" w:sz="0" w:space="0"/>
                <w:right w:val="none" w:color="auto" w:sz="0" w:space="0"/>
                <w:between w:val="none" w:color="auto" w:sz="0" w:space="0"/>
              </w:pBdr>
              <w:shd w:val="clear" w:fill="auto"/>
              <w:kinsoku w:val="0"/>
              <w:wordWrap/>
              <w:overflowPunct/>
              <w:topLinePunct w:val="0"/>
              <w:autoSpaceDE w:val="0"/>
              <w:autoSpaceDN w:val="0"/>
              <w:bidi w:val="0"/>
              <w:adjustRightInd w:val="0"/>
              <w:snapToGrid w:val="0"/>
              <w:spacing w:before="65" w:after="0" w:line="300" w:lineRule="auto"/>
              <w:ind w:left="0" w:leftChars="0" w:right="70" w:rightChars="0" w:firstLine="480" w:firstLineChars="0"/>
              <w:jc w:val="left"/>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561" w:hRule="atLeast"/>
        </w:trPr>
        <w:tc>
          <w:tcPr>
            <w:tcW w:w="3155"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top"/>
          </w:tcPr>
          <w:p>
            <w:pPr>
              <w:keepNext w:val="0"/>
              <w:keepLines w:val="0"/>
              <w:pageBreakBefore w:val="0"/>
              <w:widowControl/>
              <w:numPr>
                <w:ilvl w:val="0"/>
                <w:numId w:val="0"/>
              </w:numPr>
              <w:pBdr>
                <w:top w:val="none" w:color="auto" w:sz="0" w:space="0"/>
                <w:left w:val="none" w:color="auto" w:sz="0" w:space="0"/>
                <w:bottom w:val="none" w:color="auto" w:sz="0" w:space="0"/>
                <w:right w:val="none" w:color="auto" w:sz="0" w:space="0"/>
                <w:between w:val="none" w:color="auto" w:sz="0" w:space="0"/>
              </w:pBdr>
              <w:shd w:val="clear" w:fill="auto"/>
              <w:kinsoku w:val="0"/>
              <w:wordWrap/>
              <w:overflowPunct/>
              <w:topLinePunct w:val="0"/>
              <w:autoSpaceDE w:val="0"/>
              <w:autoSpaceDN w:val="0"/>
              <w:bidi w:val="0"/>
              <w:adjustRightInd w:val="0"/>
              <w:snapToGrid w:val="0"/>
              <w:spacing w:before="65" w:after="0" w:line="300" w:lineRule="auto"/>
              <w:ind w:left="0" w:leftChars="0" w:right="70" w:rightChars="0" w:firstLine="480" w:firstLineChars="0"/>
              <w:jc w:val="left"/>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rPr>
            </w:pPr>
            <w:r>
              <w:rPr>
                <w:rFonts w:hint="eastAsia"/>
                <w:sz w:val="24"/>
                <w:szCs w:val="32"/>
              </w:rPr>
              <w:t>Bank:</w:t>
            </w:r>
            <w:r>
              <w:rPr>
                <w:rFonts w:hint="eastAsia"/>
                <w:sz w:val="24"/>
                <w:szCs w:val="32"/>
                <w:lang w:val="en-US" w:eastAsia="zh-CN"/>
              </w:rPr>
              <w:t xml:space="preserve">  </w:t>
            </w:r>
            <w:r>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t>开户行</w:t>
            </w:r>
            <w:r>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rPr>
              <w:t>：</w:t>
            </w:r>
            <w:sdt>
              <w:sdtPr>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rPr>
                <w:tag w:val="goog_rdk_3"/>
                <w:id w:val="4"/>
                <w:showingPlcHdr/>
              </w:sdtPr>
              <w:sdtEndPr>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rPr>
              </w:sdtEndPr>
              <w:sdtContent>
                <w:r>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eastAsia="zh-CN"/>
                  </w:rPr>
                  <w:t xml:space="preserve">     </w:t>
                </w:r>
              </w:sdtContent>
            </w:sdt>
          </w:p>
        </w:tc>
        <w:tc>
          <w:tcPr>
            <w:tcW w:w="6862"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top"/>
          </w:tcPr>
          <w:p>
            <w:pPr>
              <w:keepNext w:val="0"/>
              <w:keepLines w:val="0"/>
              <w:pageBreakBefore w:val="0"/>
              <w:widowControl/>
              <w:numPr>
                <w:ilvl w:val="0"/>
                <w:numId w:val="0"/>
              </w:numPr>
              <w:pBdr>
                <w:top w:val="none" w:color="auto" w:sz="0" w:space="0"/>
                <w:left w:val="none" w:color="auto" w:sz="0" w:space="0"/>
                <w:bottom w:val="none" w:color="auto" w:sz="0" w:space="0"/>
                <w:right w:val="none" w:color="auto" w:sz="0" w:space="0"/>
                <w:between w:val="none" w:color="auto" w:sz="0" w:space="0"/>
              </w:pBdr>
              <w:shd w:val="clear" w:fill="auto"/>
              <w:kinsoku w:val="0"/>
              <w:wordWrap/>
              <w:overflowPunct/>
              <w:topLinePunct w:val="0"/>
              <w:autoSpaceDE w:val="0"/>
              <w:autoSpaceDN w:val="0"/>
              <w:bidi w:val="0"/>
              <w:adjustRightInd w:val="0"/>
              <w:snapToGrid w:val="0"/>
              <w:spacing w:before="65" w:after="0" w:line="300" w:lineRule="auto"/>
              <w:ind w:left="0" w:leftChars="0" w:right="70" w:rightChars="0" w:firstLine="480" w:firstLineChars="0"/>
              <w:jc w:val="left"/>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561" w:hRule="atLeast"/>
        </w:trPr>
        <w:tc>
          <w:tcPr>
            <w:tcW w:w="3155"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top"/>
          </w:tcPr>
          <w:p>
            <w:pPr>
              <w:keepNext w:val="0"/>
              <w:keepLines w:val="0"/>
              <w:pageBreakBefore w:val="0"/>
              <w:widowControl/>
              <w:numPr>
                <w:ilvl w:val="0"/>
                <w:numId w:val="0"/>
              </w:numPr>
              <w:pBdr>
                <w:top w:val="none" w:color="auto" w:sz="0" w:space="0"/>
                <w:left w:val="none" w:color="auto" w:sz="0" w:space="0"/>
                <w:bottom w:val="none" w:color="auto" w:sz="0" w:space="0"/>
                <w:right w:val="none" w:color="auto" w:sz="0" w:space="0"/>
                <w:between w:val="none" w:color="auto" w:sz="0" w:space="0"/>
              </w:pBdr>
              <w:shd w:val="clear" w:fill="auto"/>
              <w:kinsoku w:val="0"/>
              <w:wordWrap/>
              <w:overflowPunct/>
              <w:topLinePunct w:val="0"/>
              <w:autoSpaceDE w:val="0"/>
              <w:autoSpaceDN w:val="0"/>
              <w:bidi w:val="0"/>
              <w:adjustRightInd w:val="0"/>
              <w:snapToGrid w:val="0"/>
              <w:spacing w:before="65" w:after="0" w:line="300" w:lineRule="auto"/>
              <w:ind w:left="0" w:leftChars="0" w:right="70" w:rightChars="0" w:firstLine="480" w:firstLineChars="0"/>
              <w:jc w:val="left"/>
              <w:textAlignment w:val="baseline"/>
              <w:rPr>
                <w:rFonts w:hint="eastAsia"/>
                <w:sz w:val="24"/>
                <w:szCs w:val="32"/>
              </w:rPr>
            </w:pPr>
            <w:r>
              <w:rPr>
                <w:rFonts w:hint="eastAsia"/>
                <w:sz w:val="24"/>
                <w:szCs w:val="32"/>
              </w:rPr>
              <w:t xml:space="preserve"> Bank Address:</w:t>
            </w:r>
          </w:p>
          <w:p>
            <w:pPr>
              <w:keepNext w:val="0"/>
              <w:keepLines w:val="0"/>
              <w:pageBreakBefore w:val="0"/>
              <w:widowControl/>
              <w:numPr>
                <w:ilvl w:val="0"/>
                <w:numId w:val="0"/>
              </w:numPr>
              <w:pBdr>
                <w:top w:val="none" w:color="auto" w:sz="0" w:space="0"/>
                <w:left w:val="none" w:color="auto" w:sz="0" w:space="0"/>
                <w:bottom w:val="none" w:color="auto" w:sz="0" w:space="0"/>
                <w:right w:val="none" w:color="auto" w:sz="0" w:space="0"/>
                <w:between w:val="none" w:color="auto" w:sz="0" w:space="0"/>
              </w:pBdr>
              <w:shd w:val="clear" w:fill="auto"/>
              <w:kinsoku w:val="0"/>
              <w:wordWrap/>
              <w:overflowPunct/>
              <w:topLinePunct w:val="0"/>
              <w:autoSpaceDE w:val="0"/>
              <w:autoSpaceDN w:val="0"/>
              <w:bidi w:val="0"/>
              <w:adjustRightInd w:val="0"/>
              <w:snapToGrid w:val="0"/>
              <w:spacing w:before="65" w:after="0" w:line="300" w:lineRule="auto"/>
              <w:ind w:right="70" w:rightChars="0" w:firstLine="480" w:firstLineChars="200"/>
              <w:jc w:val="left"/>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t>开户行地址：</w:t>
            </w:r>
          </w:p>
        </w:tc>
        <w:tc>
          <w:tcPr>
            <w:tcW w:w="6862"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top"/>
          </w:tcPr>
          <w:p>
            <w:pPr>
              <w:keepNext w:val="0"/>
              <w:keepLines w:val="0"/>
              <w:pageBreakBefore w:val="0"/>
              <w:widowControl/>
              <w:numPr>
                <w:ilvl w:val="0"/>
                <w:numId w:val="0"/>
              </w:numPr>
              <w:pBdr>
                <w:top w:val="none" w:color="auto" w:sz="0" w:space="0"/>
                <w:left w:val="none" w:color="auto" w:sz="0" w:space="0"/>
                <w:bottom w:val="none" w:color="auto" w:sz="0" w:space="0"/>
                <w:right w:val="none" w:color="auto" w:sz="0" w:space="0"/>
                <w:between w:val="none" w:color="auto" w:sz="0" w:space="0"/>
              </w:pBdr>
              <w:shd w:val="clear" w:fill="auto"/>
              <w:kinsoku w:val="0"/>
              <w:wordWrap/>
              <w:overflowPunct/>
              <w:topLinePunct w:val="0"/>
              <w:autoSpaceDE w:val="0"/>
              <w:autoSpaceDN w:val="0"/>
              <w:bidi w:val="0"/>
              <w:adjustRightInd w:val="0"/>
              <w:snapToGrid w:val="0"/>
              <w:spacing w:before="65" w:after="0" w:line="300" w:lineRule="auto"/>
              <w:ind w:left="0" w:leftChars="0" w:right="70" w:rightChars="0" w:firstLine="480" w:firstLineChars="0"/>
              <w:jc w:val="left"/>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rPr>
            </w:pPr>
          </w:p>
        </w:tc>
      </w:tr>
    </w:tbl>
    <w:p>
      <w:pPr>
        <w:rPr>
          <w:rFonts w:hint="eastAsia"/>
          <w:sz w:val="24"/>
          <w:szCs w:val="32"/>
        </w:rPr>
      </w:pPr>
    </w:p>
    <w:p>
      <w:pPr>
        <w:rPr>
          <w:rFonts w:hint="eastAsia"/>
          <w:sz w:val="24"/>
          <w:szCs w:val="32"/>
        </w:rPr>
      </w:pPr>
      <w:r>
        <w:rPr>
          <w:rFonts w:hint="eastAsia"/>
          <w:sz w:val="24"/>
          <w:szCs w:val="32"/>
        </w:rPr>
        <w:t>(IV) Cooperation Term:</w:t>
      </w:r>
    </w:p>
    <w:p>
      <w:pPr>
        <w:rPr>
          <w:rFonts w:hint="eastAsia"/>
          <w:sz w:val="24"/>
          <w:szCs w:val="32"/>
        </w:rPr>
      </w:pPr>
      <w:r>
        <w:rPr>
          <w:rFonts w:hint="eastAsia"/>
          <w:sz w:val="24"/>
          <w:szCs w:val="32"/>
        </w:rPr>
        <w:t>（四）合作期限：</w:t>
      </w:r>
    </w:p>
    <w:p>
      <w:pPr>
        <w:rPr>
          <w:rFonts w:hint="eastAsia"/>
          <w:sz w:val="24"/>
          <w:szCs w:val="32"/>
        </w:rPr>
      </w:pPr>
    </w:p>
    <w:p>
      <w:pPr>
        <w:rPr>
          <w:rFonts w:hint="eastAsia"/>
          <w:sz w:val="24"/>
          <w:szCs w:val="32"/>
        </w:rPr>
      </w:pPr>
      <w:r>
        <w:rPr>
          <w:rFonts w:hint="eastAsia"/>
          <w:sz w:val="24"/>
          <w:szCs w:val="32"/>
        </w:rPr>
        <w:t>The cooperation term for EPR registration services under this framework contract between Party A and Party B is from January 1, 2025, to December 31, 2029. If neither party issues a written notice to terminate the cooperation to the other party one month prior to the expiration of the cooperation term, this contract shall be automatically renewed for three years, with unlimited renewal times.</w:t>
      </w:r>
    </w:p>
    <w:p>
      <w:pPr>
        <w:numPr>
          <w:ilvl w:val="0"/>
          <w:numId w:val="3"/>
        </w:numPr>
        <w:rPr>
          <w:rFonts w:hint="eastAsia"/>
          <w:sz w:val="24"/>
          <w:szCs w:val="32"/>
        </w:rPr>
      </w:pPr>
      <w:r>
        <w:rPr>
          <w:rFonts w:hint="eastAsia"/>
          <w:sz w:val="24"/>
          <w:szCs w:val="32"/>
        </w:rPr>
        <w:t>甲乙双方就本框架合同项下的 EPR 注册服务合作期限为：2025 年 01 月 01 日至 2029 年 12 月 31 日。合作期限届满前，如任何一方均未提前一个月向另一方发出书面终止合作通知，则本合同自动续延三年，续延次数不限。</w:t>
      </w:r>
    </w:p>
    <w:p>
      <w:pPr>
        <w:rPr>
          <w:rFonts w:hint="eastAsia"/>
          <w:sz w:val="24"/>
          <w:szCs w:val="32"/>
        </w:rPr>
      </w:pPr>
    </w:p>
    <w:p>
      <w:pPr>
        <w:rPr>
          <w:rFonts w:hint="eastAsia"/>
          <w:sz w:val="24"/>
          <w:szCs w:val="32"/>
        </w:rPr>
      </w:pPr>
      <w:r>
        <w:rPr>
          <w:rFonts w:hint="eastAsia"/>
          <w:sz w:val="24"/>
          <w:szCs w:val="32"/>
        </w:rPr>
        <w:t>The validity period for each individual EPR registration service enjoyed by Party A's customers is one calendar year. After the service validity period expires, if Party A's customer needs to continue maintaining the service, they shall pay the renewal fee according to Party B's then-effective charging standards within the period notified by Party B.</w:t>
      </w:r>
    </w:p>
    <w:p>
      <w:pPr>
        <w:rPr>
          <w:rFonts w:hint="eastAsia"/>
          <w:sz w:val="24"/>
          <w:szCs w:val="32"/>
        </w:rPr>
      </w:pPr>
      <w:r>
        <w:rPr>
          <w:rFonts w:hint="eastAsia"/>
          <w:sz w:val="24"/>
          <w:szCs w:val="32"/>
        </w:rPr>
        <w:t>2. 甲方客户享有的每项EPR注册服务，其单独的有效期均为一个自然年。服务有效期届满后，如甲方客户需继续维持该服务，则应在乙方通知的期限内，按照乙方届时有效的收费标准支付续期费用。</w:t>
      </w:r>
    </w:p>
    <w:p>
      <w:pPr>
        <w:rPr>
          <w:rFonts w:hint="eastAsia"/>
          <w:sz w:val="24"/>
          <w:szCs w:val="32"/>
        </w:rPr>
      </w:pPr>
    </w:p>
    <w:p>
      <w:pPr>
        <w:rPr>
          <w:rFonts w:hint="eastAsia"/>
          <w:sz w:val="24"/>
          <w:szCs w:val="32"/>
        </w:rPr>
      </w:pPr>
      <w:r>
        <w:rPr>
          <w:rFonts w:hint="eastAsia"/>
          <w:sz w:val="24"/>
          <w:szCs w:val="32"/>
        </w:rPr>
        <w:t>When Party A's customer exits the market, Party A shall, as the responsible entity, closely monitor the deregistration deadlines stipulated by the laws of various countries and submit a written deregistration application on time. If deregistration cannot be processed due to untimely application, Party B shall not bear the corresponding legal consequences, but Party B has the obligation to remind Party A of the deregistration deadline. During the deregistration process, if any government fees or third-party costs (hereinafter collectively referred to as "Deregistration Fees") are incurred, they shall be fully paid by Party A.</w:t>
      </w:r>
    </w:p>
    <w:p>
      <w:pPr>
        <w:rPr>
          <w:rFonts w:hint="eastAsia"/>
          <w:sz w:val="24"/>
          <w:szCs w:val="32"/>
        </w:rPr>
      </w:pPr>
      <w:r>
        <w:rPr>
          <w:rFonts w:hint="eastAsia"/>
          <w:sz w:val="24"/>
          <w:szCs w:val="32"/>
        </w:rPr>
        <w:t>3. 甲方客户退出市场时，甲方应作为责任主体，密切关注各国法案的注销时限，并按时提出书面注销申请。如果因申请不及时，导致无法注销，乙方不承担相应的法律后果但乙方有提醒甲方注销时限的义务。办理注销过程中，如产生任何政府规费或第三方费用（以下统称"注销费用"），均应由甲方全额支付。</w:t>
      </w:r>
    </w:p>
    <w:p>
      <w:pPr>
        <w:rPr>
          <w:rFonts w:hint="eastAsia"/>
          <w:sz w:val="24"/>
          <w:szCs w:val="32"/>
        </w:rPr>
      </w:pPr>
    </w:p>
    <w:p>
      <w:pPr>
        <w:rPr>
          <w:rFonts w:hint="eastAsia"/>
          <w:sz w:val="24"/>
          <w:szCs w:val="32"/>
        </w:rPr>
      </w:pPr>
      <w:r>
        <w:rPr>
          <w:rFonts w:hint="eastAsia"/>
          <w:sz w:val="24"/>
          <w:szCs w:val="32"/>
        </w:rPr>
        <w:t>II. Party A's Rights and Obligations</w:t>
      </w:r>
    </w:p>
    <w:p>
      <w:pPr>
        <w:rPr>
          <w:rFonts w:hint="eastAsia"/>
          <w:sz w:val="24"/>
          <w:szCs w:val="32"/>
        </w:rPr>
      </w:pPr>
      <w:r>
        <w:rPr>
          <w:rFonts w:hint="eastAsia"/>
          <w:sz w:val="24"/>
          <w:szCs w:val="32"/>
        </w:rPr>
        <w:t>二、甲方权利与义务</w:t>
      </w:r>
    </w:p>
    <w:p>
      <w:pPr>
        <w:rPr>
          <w:rFonts w:hint="eastAsia"/>
          <w:sz w:val="24"/>
          <w:szCs w:val="32"/>
        </w:rPr>
      </w:pPr>
    </w:p>
    <w:p>
      <w:pPr>
        <w:rPr>
          <w:rFonts w:hint="eastAsia"/>
          <w:sz w:val="24"/>
          <w:szCs w:val="32"/>
        </w:rPr>
      </w:pPr>
      <w:r>
        <w:rPr>
          <w:rFonts w:hint="eastAsia"/>
          <w:sz w:val="24"/>
          <w:szCs w:val="32"/>
        </w:rPr>
        <w:t>(I) Party A's Rights</w:t>
      </w:r>
    </w:p>
    <w:p>
      <w:pPr>
        <w:rPr>
          <w:rFonts w:hint="eastAsia"/>
          <w:sz w:val="24"/>
          <w:szCs w:val="32"/>
        </w:rPr>
      </w:pPr>
      <w:r>
        <w:rPr>
          <w:rFonts w:hint="eastAsia"/>
          <w:sz w:val="24"/>
          <w:szCs w:val="32"/>
        </w:rPr>
        <w:t>（一）甲方权利</w:t>
      </w:r>
    </w:p>
    <w:p>
      <w:pPr>
        <w:rPr>
          <w:rFonts w:hint="eastAsia"/>
          <w:sz w:val="24"/>
          <w:szCs w:val="32"/>
        </w:rPr>
      </w:pPr>
    </w:p>
    <w:p>
      <w:pPr>
        <w:rPr>
          <w:rFonts w:hint="eastAsia"/>
          <w:sz w:val="24"/>
          <w:szCs w:val="32"/>
        </w:rPr>
      </w:pPr>
      <w:r>
        <w:rPr>
          <w:rFonts w:hint="eastAsia"/>
          <w:sz w:val="24"/>
          <w:szCs w:val="32"/>
        </w:rPr>
        <w:t>After the contract is signed by both parties, Party A may request Party B to provide feedback on the progress and status of the EPR agency matters four weeks after submitting the complete registration materials, and Party B shall provide detailed information.</w:t>
      </w:r>
    </w:p>
    <w:p>
      <w:pPr>
        <w:numPr>
          <w:ilvl w:val="0"/>
          <w:numId w:val="4"/>
        </w:numPr>
        <w:rPr>
          <w:rFonts w:hint="eastAsia"/>
          <w:sz w:val="24"/>
          <w:szCs w:val="32"/>
        </w:rPr>
      </w:pPr>
      <w:r>
        <w:rPr>
          <w:rFonts w:hint="eastAsia"/>
          <w:sz w:val="24"/>
          <w:szCs w:val="32"/>
        </w:rPr>
        <w:t>双方签订合同后，甲方在提交完整注册资料四周后可以要求乙方反馈 EPR 等代理事务的处理进展和状态，乙方应详尽告知。</w:t>
      </w:r>
    </w:p>
    <w:p>
      <w:pPr>
        <w:rPr>
          <w:rFonts w:hint="eastAsia"/>
          <w:sz w:val="24"/>
          <w:szCs w:val="32"/>
        </w:rPr>
      </w:pPr>
    </w:p>
    <w:p>
      <w:pPr>
        <w:rPr>
          <w:rFonts w:hint="eastAsia"/>
          <w:sz w:val="24"/>
          <w:szCs w:val="32"/>
        </w:rPr>
      </w:pPr>
      <w:r>
        <w:rPr>
          <w:rFonts w:hint="eastAsia"/>
          <w:sz w:val="24"/>
          <w:szCs w:val="32"/>
        </w:rPr>
        <w:t>Party B shall assume confidentiality obligations for all technical and commercial information (including but not limited to EPR registration materials) provided by Party A to Party B in connection with the performance of this contract and related to the agency matters hereunder. Except for the normal submission to the competent official authorities to complete the registration matters under this agreement, Party B shall not disclose such information to any third party without the prior written consent of Party A.</w:t>
      </w:r>
    </w:p>
    <w:p>
      <w:pPr>
        <w:rPr>
          <w:rFonts w:hint="eastAsia"/>
          <w:sz w:val="24"/>
          <w:szCs w:val="32"/>
        </w:rPr>
      </w:pPr>
      <w:r>
        <w:rPr>
          <w:rFonts w:hint="eastAsia"/>
          <w:sz w:val="24"/>
          <w:szCs w:val="32"/>
        </w:rPr>
        <w:t>2. 对于甲方因履行本合同而向乙方提供的、与本合同代理事务相关的全部技术及商业信息（包括但不限于 EPR 注册的资料），乙方均应承担保密义务。除为完成本协议项下注册事宜而向主管官方机构正常提交之外，未经甲方事先书面同意，乙方不得向任何第三方披露该等信息。</w:t>
      </w:r>
    </w:p>
    <w:p>
      <w:pPr>
        <w:rPr>
          <w:rFonts w:hint="eastAsia"/>
          <w:sz w:val="24"/>
          <w:szCs w:val="32"/>
        </w:rPr>
      </w:pPr>
    </w:p>
    <w:p>
      <w:pPr>
        <w:rPr>
          <w:rFonts w:hint="eastAsia"/>
          <w:sz w:val="24"/>
          <w:szCs w:val="32"/>
        </w:rPr>
      </w:pPr>
      <w:r>
        <w:rPr>
          <w:rFonts w:hint="eastAsia"/>
          <w:sz w:val="24"/>
          <w:szCs w:val="32"/>
        </w:rPr>
        <w:t>After the contract takes effect and Party B has received the full amount payable from Party A, Party B shall submit the EPR registration documents to the official authorities after receiving the complete and correct technical materials from Party A.</w:t>
      </w:r>
    </w:p>
    <w:p>
      <w:pPr>
        <w:rPr>
          <w:rFonts w:hint="eastAsia"/>
          <w:sz w:val="24"/>
          <w:szCs w:val="32"/>
        </w:rPr>
      </w:pPr>
      <w:r>
        <w:rPr>
          <w:rFonts w:hint="eastAsia"/>
          <w:sz w:val="24"/>
          <w:szCs w:val="32"/>
        </w:rPr>
        <w:t>3、合同生效并且乙方足额收到甲方应付款项后，乙方应在收到甲方提供完整正确的技术资料后向官方机构递交 EPR 等注册文件。</w:t>
      </w:r>
    </w:p>
    <w:p>
      <w:pPr>
        <w:rPr>
          <w:rFonts w:hint="eastAsia"/>
          <w:sz w:val="24"/>
          <w:szCs w:val="32"/>
        </w:rPr>
      </w:pPr>
    </w:p>
    <w:p>
      <w:pPr>
        <w:rPr>
          <w:rFonts w:hint="eastAsia"/>
          <w:sz w:val="24"/>
          <w:szCs w:val="32"/>
        </w:rPr>
      </w:pPr>
      <w:r>
        <w:rPr>
          <w:rFonts w:hint="eastAsia"/>
          <w:sz w:val="24"/>
          <w:szCs w:val="32"/>
        </w:rPr>
        <w:t>(II) Party A's Obligations</w:t>
      </w:r>
    </w:p>
    <w:p>
      <w:pPr>
        <w:rPr>
          <w:rFonts w:hint="eastAsia"/>
          <w:sz w:val="24"/>
          <w:szCs w:val="32"/>
        </w:rPr>
      </w:pPr>
      <w:r>
        <w:rPr>
          <w:rFonts w:hint="eastAsia"/>
          <w:sz w:val="24"/>
          <w:szCs w:val="32"/>
        </w:rPr>
        <w:t>（二） 甲方义务</w:t>
      </w:r>
    </w:p>
    <w:p>
      <w:pPr>
        <w:rPr>
          <w:rFonts w:hint="eastAsia"/>
          <w:sz w:val="24"/>
          <w:szCs w:val="32"/>
        </w:rPr>
      </w:pPr>
    </w:p>
    <w:p>
      <w:pPr>
        <w:rPr>
          <w:rFonts w:hint="eastAsia"/>
          <w:sz w:val="24"/>
          <w:szCs w:val="32"/>
        </w:rPr>
      </w:pPr>
      <w:r>
        <w:rPr>
          <w:rFonts w:hint="eastAsia"/>
          <w:sz w:val="24"/>
          <w:szCs w:val="32"/>
        </w:rPr>
        <w:t>Party A shall pay the corresponding amounts to Party B on time and in full in accordance with the service fee collection and settlement process agreed in this contract.</w:t>
      </w:r>
    </w:p>
    <w:p>
      <w:pPr>
        <w:numPr>
          <w:ilvl w:val="0"/>
          <w:numId w:val="5"/>
        </w:numPr>
        <w:rPr>
          <w:rFonts w:hint="eastAsia"/>
          <w:sz w:val="24"/>
          <w:szCs w:val="32"/>
        </w:rPr>
      </w:pPr>
      <w:r>
        <w:rPr>
          <w:rFonts w:hint="eastAsia"/>
          <w:sz w:val="24"/>
          <w:szCs w:val="32"/>
        </w:rPr>
        <w:t>甲方应按照本合同约定的服务费的收取与结算流程，按时足额向乙方支付相应款项。</w:t>
      </w:r>
    </w:p>
    <w:p>
      <w:pPr>
        <w:rPr>
          <w:rFonts w:hint="eastAsia"/>
          <w:sz w:val="24"/>
          <w:szCs w:val="32"/>
        </w:rPr>
      </w:pPr>
    </w:p>
    <w:p>
      <w:pPr>
        <w:rPr>
          <w:rFonts w:hint="eastAsia"/>
          <w:sz w:val="24"/>
          <w:szCs w:val="32"/>
        </w:rPr>
      </w:pPr>
      <w:r>
        <w:rPr>
          <w:rFonts w:hint="eastAsia"/>
          <w:sz w:val="24"/>
          <w:szCs w:val="32"/>
        </w:rPr>
        <w:t>Party A shall strictly comply with the templates and precautions provided by Party B to prepare the materials required for EPR and other businesses and provide the materials to Party B on time. When preparing materials, Party A shall strictly review the submitting entity and ensure that the submitting entity has not submitted an EPR registration application through a third-party agent. Party A shall bear all responsibility for any additional costs or registration delays caused by Party A's failure to fulfill these obligations.</w:t>
      </w:r>
    </w:p>
    <w:p>
      <w:pPr>
        <w:rPr>
          <w:rFonts w:hint="eastAsia"/>
          <w:sz w:val="24"/>
          <w:szCs w:val="32"/>
        </w:rPr>
      </w:pPr>
      <w:r>
        <w:rPr>
          <w:rFonts w:hint="eastAsia"/>
          <w:sz w:val="24"/>
          <w:szCs w:val="32"/>
        </w:rPr>
        <w:t>2. 甲方应严格遵守乙方提供的模板和注意事项准备相应的EPR等业务所需要的资料，并按时提供材料给乙方。甲方在材料准备时应严格审查提交主体，并确保提交主体未曾在第三方代理处提交EPR等注册申请。因甲方未能履行此等义务而导致任何额外费用或注册延迟的，均由甲方承担全部责任。</w:t>
      </w:r>
    </w:p>
    <w:p>
      <w:pPr>
        <w:rPr>
          <w:rFonts w:hint="eastAsia"/>
          <w:sz w:val="24"/>
          <w:szCs w:val="32"/>
        </w:rPr>
      </w:pPr>
    </w:p>
    <w:p>
      <w:pPr>
        <w:rPr>
          <w:rFonts w:hint="eastAsia"/>
          <w:sz w:val="24"/>
          <w:szCs w:val="32"/>
        </w:rPr>
      </w:pPr>
      <w:r>
        <w:rPr>
          <w:rFonts w:hint="eastAsia"/>
          <w:sz w:val="24"/>
          <w:szCs w:val="32"/>
        </w:rPr>
        <w:t>Party A shall provide the applicant's contact address, telephone number, email, and postal code. If the address, telephone number, or email changes before the registration certificate is approved, Party A shall promptly notify Party B by email. Meanwhile, if Party B changes its contact address, telephone number, or email, it shall promptly notify Party A by email. Losses incurred due to failure to notify Party B promptly after such changes shall be borne solely by Party A.</w:t>
      </w:r>
    </w:p>
    <w:p>
      <w:pPr>
        <w:rPr>
          <w:rFonts w:hint="eastAsia"/>
          <w:sz w:val="24"/>
          <w:szCs w:val="32"/>
        </w:rPr>
      </w:pPr>
      <w:r>
        <w:rPr>
          <w:rFonts w:hint="eastAsia"/>
          <w:sz w:val="24"/>
          <w:szCs w:val="32"/>
        </w:rPr>
        <w:t>3. 甲方需提供申请人及联系地址、电话、邮箱、邮编，在注册证核准之前变更地址、电话、邮箱的，应及时邮件告知乙方。同时，如乙方变更对接的联系地址、电话、邮箱的，应及时邮件告知甲方。变更后未及时通知乙方所造成的损失由甲方自行承担。</w:t>
      </w:r>
    </w:p>
    <w:p>
      <w:pPr>
        <w:rPr>
          <w:rFonts w:hint="eastAsia"/>
          <w:sz w:val="24"/>
          <w:szCs w:val="32"/>
        </w:rPr>
      </w:pPr>
    </w:p>
    <w:p>
      <w:pPr>
        <w:rPr>
          <w:rFonts w:hint="eastAsia"/>
          <w:sz w:val="24"/>
          <w:szCs w:val="32"/>
        </w:rPr>
      </w:pPr>
      <w:r>
        <w:rPr>
          <w:rFonts w:hint="eastAsia"/>
          <w:sz w:val="24"/>
          <w:szCs w:val="32"/>
        </w:rPr>
        <w:t>Party A shall actively cooperate with Party B in handling the EPR registration agency matters for relevant customers and guarantee that all documents, certificates, materials, and information provided to Party B are true, valid, and legal. Losses resulting from provided materials and information that are not true, invalid, or illegal shall be borne by Party A. If losses are caused to Party B as a result, Party A shall bear compensation liability.</w:t>
      </w:r>
    </w:p>
    <w:p>
      <w:pPr>
        <w:rPr>
          <w:rFonts w:hint="eastAsia"/>
          <w:sz w:val="24"/>
          <w:szCs w:val="32"/>
        </w:rPr>
      </w:pPr>
      <w:r>
        <w:rPr>
          <w:rFonts w:hint="eastAsia"/>
          <w:sz w:val="24"/>
          <w:szCs w:val="32"/>
        </w:rPr>
        <w:t>4. 甲方应积极配合乙方处理相关客户的 EPR 等注册代理事务，并保证向乙方提供的所有文件和证件等资料和信息是真实、有效和合法的。因提供的资料和信息不真实、无效或不合法而导致的损失，由甲方承担，因此给乙方造成损失的，应由甲方承担赔偿责任。</w:t>
      </w:r>
    </w:p>
    <w:p>
      <w:pPr>
        <w:rPr>
          <w:rFonts w:hint="eastAsia"/>
          <w:sz w:val="24"/>
          <w:szCs w:val="32"/>
        </w:rPr>
      </w:pPr>
    </w:p>
    <w:p>
      <w:pPr>
        <w:rPr>
          <w:rFonts w:hint="eastAsia"/>
          <w:sz w:val="24"/>
          <w:szCs w:val="32"/>
        </w:rPr>
      </w:pPr>
      <w:r>
        <w:rPr>
          <w:rFonts w:hint="eastAsia"/>
          <w:sz w:val="24"/>
          <w:szCs w:val="32"/>
        </w:rPr>
        <w:t>Sales Data Estimation and Declaration: Party A shall provide estimated sales data during new registration and estimated sales data for the next year during renewal in the following year. Meanwhile, Party A shall provide its customers' sales data information through the designated declaration system or email before the declaration deadline stipulated by Party B.</w:t>
      </w:r>
    </w:p>
    <w:p>
      <w:pPr>
        <w:rPr>
          <w:rFonts w:hint="eastAsia"/>
          <w:sz w:val="24"/>
          <w:szCs w:val="32"/>
        </w:rPr>
      </w:pPr>
      <w:r>
        <w:rPr>
          <w:rFonts w:hint="eastAsia"/>
          <w:sz w:val="24"/>
          <w:szCs w:val="32"/>
        </w:rPr>
        <w:t>5. 销售数据预估和申报：甲方应在新注册时，提供销售数据预估量，并在次年续费时，提供次年销售数据预估量。同时甲方应在乙方规定的申报截止日期前，通过指定的申报系统或电子邮箱，提供其客户的销售数据信息。</w:t>
      </w:r>
    </w:p>
    <w:p>
      <w:pPr>
        <w:rPr>
          <w:rFonts w:hint="eastAsia"/>
          <w:sz w:val="24"/>
          <w:szCs w:val="32"/>
        </w:rPr>
      </w:pPr>
    </w:p>
    <w:p>
      <w:pPr>
        <w:rPr>
          <w:rFonts w:hint="eastAsia"/>
          <w:sz w:val="24"/>
          <w:szCs w:val="32"/>
        </w:rPr>
      </w:pPr>
      <w:r>
        <w:rPr>
          <w:rFonts w:hint="eastAsia"/>
          <w:sz w:val="24"/>
          <w:szCs w:val="32"/>
        </w:rPr>
        <w:t>For German EPR projects: Before October 10th each year, Party B will provide Party A with a list of customers requiring renewal. Party A shall inform Party B in writing of the renewal list and cancellation list by November 10th at the latest. For customers from whom no feedback regarding renewal is received after the deadline, Party A shall be deemed to have waived management rights over such customers. For customers to be renewed, Party A needs to pay the renewal fee before November 21st, and the renewed customers will have their EPR service extended for one calendar year. If the renewal fee is not paid by the deadline, Party A shall be deemed to have waived management rights over such customers; for customers not to be renewed, Party A needs to inform Party B in writing via email to terminate the authorization (including termination of authorization to Party B and confirmation of cancellation of relevant EPR certificates). After confirming Party A's cancellation notice, Party B will issue a corresponding deregistration fee invoice to Party A (deregistration fee standards are detailed in the supplementary agreement). Party A needs to pay the deregistration fee invoice before November 21st. If Party A fails to pay the deregistration fee invoice by November 21st, Party A shall be deemed to have waived management rights over the customers listed in the deregistration invoice, and Party B has the right to contact the customers directly to collect the deregistration fee. If payment is overdue due to Party A's reasons, Party B has the right to pursue the amount from Party A and all related costs incurred in the pursuit. For EPR projects in other countries: Party B will provide Party A with a list of customers requiring renewal. Party A shall inform Party B in writing of the renewal list and cancellation list before the deadline in Party B's renewal notice and pay the corresponding renewal fees and deregistration fees to Party B on time.</w:t>
      </w:r>
    </w:p>
    <w:p>
      <w:pPr>
        <w:rPr>
          <w:rFonts w:hint="eastAsia"/>
          <w:sz w:val="24"/>
          <w:szCs w:val="32"/>
        </w:rPr>
      </w:pPr>
      <w:r>
        <w:rPr>
          <w:rFonts w:hint="eastAsia"/>
          <w:sz w:val="24"/>
          <w:szCs w:val="32"/>
        </w:rPr>
        <w:t>6. 针对德国EPR项目：每年 10 月 10 日前，乙方会向甲方提供应续费的客户清单，甲方应最晚在 11 月 10 日之前书面告知乙方续费清单和注销清单。对于逾期无反馈是否续费的客户，视为甲方放弃该客户的管理权。对于续费的客户甲方需要在 11 月 21 日前支付续费款，续费客户将被延续 1 个自然年的 EPR 服务。若逾期未缴纳续费款，视为甲方放弃对该客户的管理权；对于不续费的客户，甲方需以书面邮件的形式告知乙方终止授权（包括终止对乙方的授权及确认相关 EPR 等证书注销）。在确认甲方要注销的通知后，乙方会开具对应的注销费账单给甲方（注销费收费标准详见补充协议），甲方需在 11 月 21 日前支付注销费账单，如甲方未在 11 月 21 日前支付注销费账单，视为甲方放弃对注销账单中客户的管理权，乙方有权直接联系客户收取注销费。如因甲方原因逾期不付的，乙方有权向甲方追讨款项及因追讨而产生的一切相关费用。针对其他国家EPR项目：乙方会向甲方提供应续费的客户清单，甲方应在乙方续费通知中的截止日期前书面告知乙方续费清单和注销清单，并按时支付乙方相应地续费款和注销费。</w:t>
      </w:r>
    </w:p>
    <w:p>
      <w:pPr>
        <w:rPr>
          <w:rFonts w:hint="eastAsia"/>
          <w:sz w:val="24"/>
          <w:szCs w:val="32"/>
        </w:rPr>
      </w:pPr>
    </w:p>
    <w:p>
      <w:pPr>
        <w:rPr>
          <w:rFonts w:hint="eastAsia"/>
          <w:sz w:val="24"/>
          <w:szCs w:val="32"/>
        </w:rPr>
      </w:pPr>
      <w:r>
        <w:rPr>
          <w:rFonts w:hint="eastAsia"/>
          <w:sz w:val="24"/>
          <w:szCs w:val="32"/>
        </w:rPr>
        <w:t>All costs incurred outside the scope of the service package of this contract (including but not limited to excess guarantee fees, official fees, actual recycling fees, etc.) shall be borne by Party A's customers. Party A undertakes and guarantees that it will be responsible for collecting such out-of-scope fees from its own customers and paying them to Party B in a timely and full manner. If Party A's customers fail to make the payment, Party A shall assume joint and several liability for the payment of such out-of-scope fees, meaning that Party B has the right to directly demand payment from Party A.</w:t>
      </w:r>
    </w:p>
    <w:p>
      <w:pPr>
        <w:rPr>
          <w:rFonts w:hint="eastAsia"/>
          <w:sz w:val="24"/>
          <w:szCs w:val="32"/>
        </w:rPr>
      </w:pPr>
      <w:r>
        <w:rPr>
          <w:rFonts w:hint="eastAsia"/>
          <w:sz w:val="24"/>
          <w:szCs w:val="32"/>
        </w:rPr>
        <w:t>7. 对于本合同服务套餐范围外产生的所有费用（包括但不限于超量担保费、官方费用、实际回收费等），均应由甲方客户承担。甲方承诺并保证，其将负责向自身客户收齐该等超范围费用，并按时、足额地支付给乙方。若甲方客户未能支付，甲方应对此笔超范围费用的支付承担连带保证责任，即乙方有权直接要求甲方支付。</w:t>
      </w:r>
    </w:p>
    <w:p>
      <w:pPr>
        <w:rPr>
          <w:rFonts w:hint="eastAsia"/>
          <w:sz w:val="24"/>
          <w:szCs w:val="32"/>
        </w:rPr>
      </w:pPr>
    </w:p>
    <w:p>
      <w:pPr>
        <w:rPr>
          <w:rFonts w:hint="eastAsia"/>
          <w:sz w:val="24"/>
          <w:szCs w:val="32"/>
        </w:rPr>
      </w:pPr>
      <w:r>
        <w:rPr>
          <w:rFonts w:hint="eastAsia"/>
          <w:sz w:val="24"/>
          <w:szCs w:val="32"/>
        </w:rPr>
        <w:t>III. Party B's Rights and Obligations</w:t>
      </w:r>
    </w:p>
    <w:p>
      <w:pPr>
        <w:rPr>
          <w:rFonts w:hint="eastAsia"/>
          <w:sz w:val="24"/>
          <w:szCs w:val="32"/>
        </w:rPr>
      </w:pPr>
      <w:r>
        <w:rPr>
          <w:rFonts w:hint="eastAsia"/>
          <w:sz w:val="24"/>
          <w:szCs w:val="32"/>
        </w:rPr>
        <w:t>三、乙方权利与义务</w:t>
      </w:r>
    </w:p>
    <w:p>
      <w:pPr>
        <w:rPr>
          <w:rFonts w:hint="eastAsia"/>
          <w:sz w:val="24"/>
          <w:szCs w:val="32"/>
        </w:rPr>
      </w:pPr>
    </w:p>
    <w:p>
      <w:pPr>
        <w:rPr>
          <w:rFonts w:hint="eastAsia"/>
          <w:sz w:val="24"/>
          <w:szCs w:val="32"/>
        </w:rPr>
      </w:pPr>
      <w:r>
        <w:rPr>
          <w:rFonts w:hint="eastAsia"/>
          <w:sz w:val="24"/>
          <w:szCs w:val="32"/>
        </w:rPr>
        <w:t>(I) Party B's Rights</w:t>
      </w:r>
    </w:p>
    <w:p>
      <w:pPr>
        <w:rPr>
          <w:rFonts w:hint="eastAsia"/>
          <w:sz w:val="24"/>
          <w:szCs w:val="32"/>
        </w:rPr>
      </w:pPr>
      <w:r>
        <w:rPr>
          <w:rFonts w:hint="eastAsia"/>
          <w:sz w:val="24"/>
          <w:szCs w:val="32"/>
        </w:rPr>
        <w:t>（一）乙方权利</w:t>
      </w:r>
    </w:p>
    <w:p>
      <w:pPr>
        <w:rPr>
          <w:rFonts w:hint="eastAsia"/>
          <w:sz w:val="24"/>
          <w:szCs w:val="32"/>
        </w:rPr>
      </w:pPr>
    </w:p>
    <w:p>
      <w:pPr>
        <w:rPr>
          <w:rFonts w:hint="eastAsia"/>
          <w:sz w:val="24"/>
          <w:szCs w:val="32"/>
        </w:rPr>
      </w:pPr>
      <w:r>
        <w:rPr>
          <w:rFonts w:hint="eastAsia"/>
          <w:sz w:val="24"/>
          <w:szCs w:val="32"/>
        </w:rPr>
        <w:t>Party B provides EPR registration agency services to Party A and has the right to collect service fees on time.</w:t>
      </w:r>
    </w:p>
    <w:p>
      <w:pPr>
        <w:numPr>
          <w:ilvl w:val="0"/>
          <w:numId w:val="6"/>
        </w:numPr>
        <w:rPr>
          <w:rFonts w:hint="eastAsia"/>
          <w:sz w:val="24"/>
          <w:szCs w:val="32"/>
        </w:rPr>
      </w:pPr>
      <w:r>
        <w:rPr>
          <w:rFonts w:hint="eastAsia"/>
          <w:sz w:val="24"/>
          <w:szCs w:val="32"/>
        </w:rPr>
        <w:t>乙方为甲方提供 EPR 等注册代理服务，有按时收取服务费用的权利。</w:t>
      </w:r>
    </w:p>
    <w:p>
      <w:pPr>
        <w:rPr>
          <w:rFonts w:hint="eastAsia"/>
          <w:sz w:val="24"/>
          <w:szCs w:val="32"/>
        </w:rPr>
      </w:pPr>
    </w:p>
    <w:p>
      <w:pPr>
        <w:rPr>
          <w:rFonts w:hint="eastAsia"/>
          <w:sz w:val="24"/>
          <w:szCs w:val="32"/>
        </w:rPr>
      </w:pPr>
      <w:r>
        <w:rPr>
          <w:rFonts w:hint="eastAsia"/>
          <w:sz w:val="24"/>
          <w:szCs w:val="32"/>
        </w:rPr>
        <w:t>If Party B receives a 72-hour recall instruction issued by the German official authority (ear) to Party A's customer, Party B shall have the right to directly select a suitable recycling service provider in Germany to handle the recycling matter, and the costs incurred shall be borne by Party A's customer. Party B will issue an invoice to Party A based on the offline recycling service rates (detailed in the supplementary agreement). Party A undertakes and guarantees that it will be responsible for collecting the full amount of this fee from the customer and paying it to Party B in a timely and complete manner. If Party A's customer fails to make the payment, Party A shall assume joint and several liability for the payment of this fee, meaning Party B has the right to directly demand payment from Party A. If Party A refuses to pay this fee, Party B shall have the right to pursue recovery of the amount from Party A, along with all associated costs incurred during the recovery process, and to deregister the customer's EPR account. Party B is only responsible for handling recall instructions issued by the German official authority (ear).</w:t>
      </w:r>
    </w:p>
    <w:p>
      <w:pPr>
        <w:rPr>
          <w:rFonts w:hint="eastAsia"/>
          <w:sz w:val="24"/>
          <w:szCs w:val="32"/>
        </w:rPr>
      </w:pPr>
      <w:r>
        <w:rPr>
          <w:rFonts w:hint="eastAsia"/>
          <w:sz w:val="24"/>
          <w:szCs w:val="32"/>
        </w:rPr>
        <w:t>2. 若乙方收到德国官方机构 ear 给甲方客户发出的72小时回收指令，乙方有权直接在德国择优选择回收服务商处理回收事宜，费用由甲方客户承担。乙方将根据线下回收收费标准（详见补充协议）向甲方开具账单，甲方承诺并保证，其将负责向客户收齐该费用并按时、足额地支付给乙方。若甲方客户未能支付，甲方应对此笔费用的支付承担连带保证责任，即乙方有权直接要求甲方支付。若甲方拒绝支付该费用，乙方有权向甲方追讨该款项及因追讨而产生的一切相关费用，并且注销该客户的 EPR 账号。乙方只负责处理由德国官方机构 ear 发出的回收指令。</w:t>
      </w:r>
    </w:p>
    <w:p>
      <w:pPr>
        <w:rPr>
          <w:rFonts w:hint="eastAsia"/>
          <w:sz w:val="24"/>
          <w:szCs w:val="32"/>
        </w:rPr>
      </w:pPr>
    </w:p>
    <w:p>
      <w:pPr>
        <w:rPr>
          <w:rFonts w:hint="eastAsia"/>
          <w:sz w:val="24"/>
          <w:szCs w:val="32"/>
        </w:rPr>
      </w:pPr>
      <w:r>
        <w:rPr>
          <w:rFonts w:hint="eastAsia"/>
          <w:sz w:val="24"/>
          <w:szCs w:val="32"/>
        </w:rPr>
        <w:t>Sales Data Declaration:</w:t>
      </w:r>
      <w:r>
        <w:rPr>
          <w:rFonts w:hint="default"/>
          <w:sz w:val="24"/>
          <w:szCs w:val="32"/>
        </w:rPr>
        <w:t> After Party A provides the declared data to Party B on time, Party B shall have the right to request Party A to provide proof of sales data. Simultaneously, Party B shall have the right to conduct data exchange with the platforms (such as Amazon, etc.) where Party A's customers sell, to verify the quantity declared. If false declaration or failure to declare on time is discovered, Party B will issue one reminder. Upon the cumulative occurrence of two consecutive instances of failure to declare on time or false declaration, Party B shall have the right to directly deregister the authorization of Party A's customer and all product registrations. If Party B receives a fine from the official authorities due to untrue declaration data or failure to submit declaration data on time, it shall be borne by the corresponding Party A customer. Party A undertakes and guarantees that it will be responsible for collecting the full amount of such costs from its own customers and paying them to Party B in a timely and complete manner. If Party A's customer fails to make the payment, Party A shall assume joint and several liability for the payment of such costs, meaning Party B has the right to directly demand payment from Party A and to deregister the account.</w:t>
      </w:r>
    </w:p>
    <w:p>
      <w:pPr>
        <w:rPr>
          <w:rFonts w:hint="eastAsia"/>
          <w:sz w:val="24"/>
          <w:szCs w:val="32"/>
        </w:rPr>
      </w:pPr>
      <w:r>
        <w:rPr>
          <w:rFonts w:hint="eastAsia"/>
          <w:sz w:val="24"/>
          <w:szCs w:val="32"/>
        </w:rPr>
        <w:t>3. 销售数据申报：在甲方按时把申报的数据提供给乙方后，乙方有权要求甲方出示销售数据证明，同时乙方有权向甲方客户销售的平台（如亚马逊等）进行数据交换以核对数量申报。如果发现虚假申报或者逾期不报，乙方会提醒一次，累计连续两次逾期不报或者虚假申报，乙方有权直接注销甲方客户的授权及所有产品注册。如果因申报数据不真实或未及时提交申报数据，乙方收到来自官方的罚单，应由相应的甲方客户承担。甲方承诺并保证，其将负责向自身客户收齐费用，并按时、足额地支付给乙方。若甲方客户未能支付，甲方应对此笔费用的支付承担连带保证责任，即乙方有权直接要求甲方支付并且注销账号。</w:t>
      </w:r>
    </w:p>
    <w:p>
      <w:pPr>
        <w:rPr>
          <w:rFonts w:hint="eastAsia"/>
          <w:sz w:val="24"/>
          <w:szCs w:val="32"/>
        </w:rPr>
      </w:pPr>
    </w:p>
    <w:p>
      <w:pPr>
        <w:rPr>
          <w:rFonts w:hint="eastAsia"/>
          <w:sz w:val="24"/>
          <w:szCs w:val="32"/>
        </w:rPr>
      </w:pPr>
      <w:r>
        <w:rPr>
          <w:rFonts w:hint="eastAsia"/>
          <w:sz w:val="24"/>
          <w:szCs w:val="32"/>
        </w:rPr>
        <w:t>If, among the customers represented by Party A, any customer's actual declaration data exceeds the guaranteed quantity or recycling quantity agreed upon in this contract, Party B will issue a real-time invoice to Party A based on the exceeded amount. If Party A refuses to pay the invoice, Party B has the right to pursue the amount from Party A and all related costs incurred in the pursuit, and cancel the account. For guaranteed quantities or recycling quantities exceeding those included in the package, Party B has the right to process the actual declaration work only after receiving the amount of the guarantee fee or recycling fee invoice.</w:t>
      </w:r>
    </w:p>
    <w:p>
      <w:pPr>
        <w:rPr>
          <w:rFonts w:hint="eastAsia"/>
          <w:sz w:val="24"/>
          <w:szCs w:val="32"/>
        </w:rPr>
      </w:pPr>
      <w:r>
        <w:rPr>
          <w:rFonts w:hint="eastAsia"/>
          <w:sz w:val="24"/>
          <w:szCs w:val="32"/>
        </w:rPr>
        <w:t>4. 若在甲方代理的客户中，有任何客户的实际申报数据超过本合同内约定的担保量或回收量，乙方将根据超出的额度，开具实时账单给甲方。若甲方拒绝支付账单，乙方有权向甲方追讨款项及因追讨而产生的一切相关费用并注销账号。对于超过套餐内的担保量或回收量，乙方有权在收到担保费或回收费账单金额后再处理实际的申报工作。</w:t>
      </w:r>
    </w:p>
    <w:p>
      <w:pPr>
        <w:rPr>
          <w:rFonts w:hint="eastAsia"/>
          <w:sz w:val="24"/>
          <w:szCs w:val="32"/>
        </w:rPr>
      </w:pPr>
    </w:p>
    <w:p>
      <w:pPr>
        <w:rPr>
          <w:rFonts w:hint="eastAsia"/>
          <w:sz w:val="24"/>
          <w:szCs w:val="32"/>
        </w:rPr>
      </w:pPr>
      <w:r>
        <w:rPr>
          <w:rFonts w:hint="eastAsia"/>
          <w:sz w:val="24"/>
          <w:szCs w:val="32"/>
        </w:rPr>
        <w:t>(II) Party B's Obligations</w:t>
      </w:r>
    </w:p>
    <w:p>
      <w:pPr>
        <w:rPr>
          <w:rFonts w:hint="eastAsia"/>
          <w:sz w:val="24"/>
          <w:szCs w:val="32"/>
        </w:rPr>
      </w:pPr>
      <w:r>
        <w:rPr>
          <w:rFonts w:hint="eastAsia"/>
          <w:sz w:val="24"/>
          <w:szCs w:val="32"/>
        </w:rPr>
        <w:t>（二）乙方义务</w:t>
      </w:r>
    </w:p>
    <w:p>
      <w:pPr>
        <w:rPr>
          <w:rFonts w:hint="eastAsia"/>
          <w:sz w:val="24"/>
          <w:szCs w:val="32"/>
        </w:rPr>
      </w:pPr>
    </w:p>
    <w:p>
      <w:pPr>
        <w:rPr>
          <w:rFonts w:hint="eastAsia"/>
          <w:sz w:val="24"/>
          <w:szCs w:val="32"/>
        </w:rPr>
      </w:pPr>
      <w:r>
        <w:rPr>
          <w:rFonts w:hint="eastAsia"/>
          <w:sz w:val="24"/>
          <w:szCs w:val="32"/>
        </w:rPr>
        <w:t>Party B accepts the entrustment of Party A and handles the EPR registration agency matters entrusted by Party A in accordance with the law. Specific service content is listed in the service items outlined in the supplementary agreement.</w:t>
      </w:r>
    </w:p>
    <w:p>
      <w:pPr>
        <w:numPr>
          <w:ilvl w:val="0"/>
          <w:numId w:val="7"/>
        </w:numPr>
        <w:rPr>
          <w:rFonts w:hint="eastAsia"/>
          <w:sz w:val="24"/>
          <w:szCs w:val="32"/>
        </w:rPr>
      </w:pPr>
      <w:r>
        <w:rPr>
          <w:rFonts w:hint="eastAsia"/>
          <w:sz w:val="24"/>
          <w:szCs w:val="32"/>
        </w:rPr>
        <w:t>乙方接受甲方委托，依法办理甲方委托的 EPR 等注册代理事务，具体服务内容见本补充协议中所列出的服务项目。</w:t>
      </w:r>
    </w:p>
    <w:p>
      <w:pPr>
        <w:rPr>
          <w:rFonts w:hint="eastAsia"/>
          <w:sz w:val="24"/>
          <w:szCs w:val="32"/>
        </w:rPr>
      </w:pPr>
    </w:p>
    <w:p>
      <w:pPr>
        <w:rPr>
          <w:rFonts w:hint="eastAsia"/>
          <w:sz w:val="24"/>
          <w:szCs w:val="32"/>
        </w:rPr>
      </w:pPr>
      <w:r>
        <w:rPr>
          <w:rFonts w:hint="eastAsia"/>
          <w:sz w:val="24"/>
          <w:szCs w:val="32"/>
        </w:rPr>
        <w:t>For the EPR registration applications to be submitted under the service items, the final material information submitted for the EPR registration application shall be based on the content sent by Party A via email.</w:t>
      </w:r>
    </w:p>
    <w:p>
      <w:pPr>
        <w:rPr>
          <w:rFonts w:hint="eastAsia"/>
          <w:sz w:val="24"/>
          <w:szCs w:val="32"/>
        </w:rPr>
      </w:pPr>
      <w:r>
        <w:rPr>
          <w:rFonts w:hint="eastAsia"/>
          <w:sz w:val="24"/>
          <w:szCs w:val="32"/>
        </w:rPr>
        <w:t>2. 对于服务项目中拟定提交的 EPR 等业务的注册申请，最终提交 EPR 等业务注册申请的材料信息以甲方邮件发送的内容为准。</w:t>
      </w:r>
    </w:p>
    <w:p>
      <w:pPr>
        <w:rPr>
          <w:rFonts w:hint="eastAsia"/>
          <w:sz w:val="24"/>
          <w:szCs w:val="32"/>
        </w:rPr>
      </w:pPr>
    </w:p>
    <w:p>
      <w:pPr>
        <w:rPr>
          <w:rFonts w:hint="eastAsia"/>
          <w:sz w:val="24"/>
          <w:szCs w:val="32"/>
        </w:rPr>
      </w:pPr>
      <w:r>
        <w:rPr>
          <w:rFonts w:hint="eastAsia"/>
          <w:sz w:val="24"/>
          <w:szCs w:val="32"/>
        </w:rPr>
        <w:t>Party B shall initiate the EPR registration and declaration agency matters in accordance with the order service fee collection and settlement process. After Party A provides complete materials meeting the application requirements, Party B shall complete the submission within 5 working days. The final certificate issuance time is subject to the processing speed of the official institutions.</w:t>
      </w:r>
    </w:p>
    <w:p>
      <w:pPr>
        <w:rPr>
          <w:rFonts w:hint="eastAsia"/>
          <w:sz w:val="24"/>
          <w:szCs w:val="32"/>
        </w:rPr>
      </w:pPr>
      <w:r>
        <w:rPr>
          <w:rFonts w:hint="eastAsia"/>
          <w:sz w:val="24"/>
          <w:szCs w:val="32"/>
        </w:rPr>
        <w:t>3. 乙方应按照订单的服务费收取与结算流程启动 EPR 等注册和申报代理事务，在甲方提供完全且符合申请要求的材料后乙方应在 5 工作日内完成提交，最终下证时效以官方机构的处理速度为准。</w:t>
      </w:r>
    </w:p>
    <w:p>
      <w:pPr>
        <w:rPr>
          <w:rFonts w:hint="eastAsia"/>
          <w:sz w:val="24"/>
          <w:szCs w:val="32"/>
        </w:rPr>
      </w:pPr>
    </w:p>
    <w:p>
      <w:pPr>
        <w:rPr>
          <w:rFonts w:hint="eastAsia"/>
          <w:sz w:val="24"/>
          <w:szCs w:val="32"/>
        </w:rPr>
      </w:pPr>
      <w:r>
        <w:rPr>
          <w:rFonts w:hint="eastAsia"/>
          <w:sz w:val="24"/>
          <w:szCs w:val="32"/>
        </w:rPr>
        <w:t>During the process of handling EPR registration agency matters, Party B shall provide related consultation and problem-solving services free of charge. The consulting services provided by Party B are for Party A's reference only, and the final decision-making authority belongs to Party A. During the signing of this contract, Party B has elaborated in detail the risks in the EPR registration application process to Party A. Party A has understood these risks and agrees to accept them. The risk提示 is confirmed in writing by both parties and issued simultaneously as an annex to this contract upon signing.</w:t>
      </w:r>
    </w:p>
    <w:p>
      <w:pPr>
        <w:rPr>
          <w:rFonts w:hint="eastAsia"/>
          <w:sz w:val="24"/>
          <w:szCs w:val="32"/>
        </w:rPr>
      </w:pPr>
      <w:r>
        <w:rPr>
          <w:rFonts w:hint="eastAsia"/>
          <w:sz w:val="24"/>
          <w:szCs w:val="32"/>
        </w:rPr>
        <w:t>4. 乙方在处理 EPR 等注册代理事务过程中，免费提供相关的咨询和问题解答服务，乙方提供的咨询服务仅作为甲方的参考，最终决定权属于甲方。本次合同签订过程中，乙方已经向甲方就 EPR 等注册申请过程中的风险进行了详细阐明，甲方已经了解该风险，并同意接受该风险。风险提示以书面形式经双方确认，在本合同签订时已同步出具作为合同的附件。</w:t>
      </w:r>
    </w:p>
    <w:p>
      <w:pPr>
        <w:rPr>
          <w:rFonts w:hint="eastAsia"/>
          <w:sz w:val="24"/>
          <w:szCs w:val="32"/>
        </w:rPr>
      </w:pPr>
    </w:p>
    <w:p>
      <w:pPr>
        <w:rPr>
          <w:rFonts w:hint="eastAsia"/>
          <w:sz w:val="24"/>
          <w:szCs w:val="32"/>
        </w:rPr>
      </w:pPr>
      <w:r>
        <w:rPr>
          <w:rFonts w:hint="eastAsia"/>
          <w:sz w:val="24"/>
          <w:szCs w:val="32"/>
        </w:rPr>
        <w:t>Party B shall promptly deliver the EPR legal documents issued by relevant departments and official institutions to Party A; however, Party B shall not be held responsible if delivery is not timely due to force majeure factors. Said force majeure factors include but are not limited to unpredictable and uncontrollable factors such as earthquakes, wars, floods, etc. If delivery is not timely due to force majeure, Party B shall promptly notify Party A after the force majeure event ends.</w:t>
      </w:r>
    </w:p>
    <w:p>
      <w:pPr>
        <w:rPr>
          <w:rFonts w:hint="eastAsia"/>
          <w:sz w:val="24"/>
          <w:szCs w:val="32"/>
        </w:rPr>
      </w:pPr>
      <w:r>
        <w:rPr>
          <w:rFonts w:hint="eastAsia"/>
          <w:sz w:val="24"/>
          <w:szCs w:val="32"/>
        </w:rPr>
        <w:t>5. 乙方应将相关部门和官方机构下发的 EPR 等法律文件，及时送达甲方；但如因不可抗力的因素导致未及时送达，乙方不承担责任，所述不可抗力因素包括但不限于地震、战争、洪水等无法预测、无法控制的因素。如因不可抗力导致乙方未及时送达的，乙方在不可抗力结束后，应及时通知甲方。</w:t>
      </w:r>
    </w:p>
    <w:p>
      <w:pPr>
        <w:rPr>
          <w:rFonts w:hint="eastAsia"/>
          <w:sz w:val="24"/>
          <w:szCs w:val="32"/>
        </w:rPr>
      </w:pPr>
    </w:p>
    <w:p>
      <w:pPr>
        <w:rPr>
          <w:rFonts w:ascii="宋体" w:hAnsi="宋体" w:eastAsia="宋体" w:cs="宋体"/>
          <w:sz w:val="24"/>
          <w:szCs w:val="24"/>
          <w:woUserID w:val="1"/>
        </w:rPr>
      </w:pPr>
      <w:r>
        <w:rPr>
          <w:rFonts w:hint="eastAsia"/>
          <w:sz w:val="24"/>
          <w:szCs w:val="32"/>
        </w:rPr>
        <w:t>Party B shall maintain the confidentiality of any trade secrets of Party A and any EPR registration information and other materials provided by Party A that come to its knowledge during the cooperation. Party B shall not disclose such information to any third party without the prior written consent of Party A, except for disclosures made to official authorities necessary for the performance of this Contract. Party B may disclose and display Party A's public information, such as its company name and logo, in its own business promotions. However, Party B shall not disclose or display any information involving Party A's trade secrets, including but not limited to unreleased or unsold products.</w:t>
      </w:r>
      <w:r>
        <w:rPr>
          <w:rFonts w:ascii="宋体" w:hAnsi="宋体" w:eastAsia="宋体" w:cs="宋体"/>
          <w:sz w:val="24"/>
          <w:szCs w:val="24"/>
          <w:woUserID w:val="1"/>
        </w:rPr>
        <w:t xml:space="preserve"> </w:t>
      </w:r>
    </w:p>
    <w:p>
      <w:pPr>
        <w:rPr>
          <w:rFonts w:hint="eastAsia"/>
          <w:sz w:val="24"/>
          <w:szCs w:val="32"/>
        </w:rPr>
      </w:pPr>
      <w:r>
        <w:rPr>
          <w:rFonts w:hint="eastAsia"/>
          <w:sz w:val="24"/>
          <w:szCs w:val="32"/>
        </w:rPr>
        <w:t xml:space="preserve">6. </w:t>
      </w:r>
      <w:r>
        <w:rPr>
          <w:rFonts w:hint="eastAsia" w:ascii="宋体" w:hAnsi="宋体" w:eastAsia="宋体" w:cs="宋体"/>
          <w:b w:val="0"/>
          <w:color w:val="000000"/>
          <w:kern w:val="0"/>
          <w:sz w:val="24"/>
          <w:szCs w:val="24"/>
          <w:woUserID w:val="1"/>
        </w:rPr>
        <w:t>乙方对在合作中知悉的甲方商业秘密及甲方提供的EPR注册信息等资料承担保密义务，未经甲方同意，不得向任何第三方披露。为履行本合同之目的向官方机构提交的除外。乙方可在自身业务宣传中披露、展示甲方的公司名称和标志等公开信息，但不得披露、展示甲方尚未公布、销售的产品等涉及甲方商业秘密的信息。</w:t>
      </w:r>
    </w:p>
    <w:p>
      <w:pPr>
        <w:rPr>
          <w:rFonts w:hint="eastAsia"/>
          <w:sz w:val="24"/>
          <w:szCs w:val="32"/>
        </w:rPr>
      </w:pPr>
    </w:p>
    <w:p>
      <w:pPr>
        <w:rPr>
          <w:rFonts w:hint="eastAsia"/>
          <w:sz w:val="24"/>
          <w:szCs w:val="32"/>
        </w:rPr>
      </w:pPr>
      <w:r>
        <w:rPr>
          <w:rFonts w:hint="eastAsia"/>
          <w:sz w:val="24"/>
          <w:szCs w:val="32"/>
        </w:rPr>
        <w:t>IV. Liability for Breach of Contract</w:t>
      </w:r>
    </w:p>
    <w:p>
      <w:pPr>
        <w:rPr>
          <w:rFonts w:hint="eastAsia"/>
          <w:sz w:val="24"/>
          <w:szCs w:val="32"/>
        </w:rPr>
      </w:pPr>
      <w:r>
        <w:rPr>
          <w:rFonts w:hint="eastAsia"/>
          <w:sz w:val="24"/>
          <w:szCs w:val="32"/>
        </w:rPr>
        <w:t>四、违约责任</w:t>
      </w:r>
    </w:p>
    <w:p>
      <w:pPr>
        <w:rPr>
          <w:rFonts w:hint="eastAsia"/>
          <w:sz w:val="24"/>
          <w:szCs w:val="32"/>
        </w:rPr>
      </w:pPr>
    </w:p>
    <w:p>
      <w:pPr>
        <w:rPr>
          <w:rFonts w:hint="eastAsia"/>
          <w:sz w:val="24"/>
          <w:szCs w:val="32"/>
        </w:rPr>
      </w:pPr>
      <w:r>
        <w:rPr>
          <w:rFonts w:hint="eastAsia"/>
          <w:sz w:val="24"/>
          <w:szCs w:val="32"/>
        </w:rPr>
        <w:t>After this contract takes effect, if either party fails to perform the obligations stipulated in this contract or fails to perform the contract in the manner agreed upon by both parties, it shall bear liability for breach of contract.</w:t>
      </w:r>
    </w:p>
    <w:p>
      <w:pPr>
        <w:numPr>
          <w:ilvl w:val="0"/>
          <w:numId w:val="8"/>
        </w:numPr>
        <w:rPr>
          <w:rFonts w:hint="eastAsia"/>
          <w:sz w:val="24"/>
          <w:szCs w:val="32"/>
        </w:rPr>
      </w:pPr>
      <w:r>
        <w:rPr>
          <w:rFonts w:hint="eastAsia"/>
          <w:sz w:val="24"/>
          <w:szCs w:val="32"/>
        </w:rPr>
        <w:t>本合同生效后，任何一方不履行本合同规定的义务或不按双方约定的方式履行合同，均应承担违约责任。</w:t>
      </w:r>
    </w:p>
    <w:p>
      <w:pPr>
        <w:rPr>
          <w:rFonts w:hint="eastAsia"/>
          <w:sz w:val="24"/>
          <w:szCs w:val="32"/>
        </w:rPr>
      </w:pPr>
    </w:p>
    <w:p>
      <w:pPr>
        <w:rPr>
          <w:rFonts w:hint="eastAsia"/>
          <w:sz w:val="24"/>
          <w:szCs w:val="32"/>
        </w:rPr>
      </w:pPr>
      <w:r>
        <w:rPr>
          <w:rFonts w:hint="eastAsia"/>
          <w:sz w:val="24"/>
          <w:szCs w:val="32"/>
        </w:rPr>
        <w:t>If Party A fails to pay the service fees on time in violation of this Contract, Party B shall have the right to suspend or terminate the relevant services, including but not limited to suspending the processing of EPR registration, declaration, and related business for Party A's customers. For customers who have already completed registration, Party B shall have the right to deregister their relevant EPR certificates or suspend their subsequent declaration services without receiving the due payments. All resulting deregistration fees and related losses shall be borne solely by Party A. If Party A still fails to fulfill its payment obligation within 5 working days after receiving a written reminder from Party B, Party B shall have the right to pursue the outstanding amount and all associated costs incurred in the collection process through legal channels. The term "all associated costs incurred in the collection process" under the provisions of this Contract includes but is not limited to court acceptance fees, preservation fees, preservation insurance fees, appraisal fees, auction fees, attorney fees, travel expenses, etc.</w:t>
      </w:r>
    </w:p>
    <w:p>
      <w:pPr>
        <w:rPr>
          <w:rFonts w:hint="eastAsia"/>
          <w:sz w:val="24"/>
          <w:szCs w:val="32"/>
        </w:rPr>
      </w:pPr>
      <w:r>
        <w:rPr>
          <w:rFonts w:hint="eastAsia"/>
          <w:sz w:val="24"/>
          <w:szCs w:val="32"/>
        </w:rPr>
        <w:t>2. 甲方违反本合同之规定，未按时支付服务费用，乙方有权暂停或终止相关服务，包括但不限于暂停处理甲方客户的 EPR 注册、申报及相关业务。对于已完成注册的客户，乙方有权在未收到应付款项的情况下注销其相关EPR证书或暂停其后续申报服务，由此产生的注销费及相关损失后果由甲方自行承担。若甲方在乙方书面催告后 5 个工作日内仍未履行付款义务，乙方有权通过法律途径向甲方追讨款项及因追讨而产生的一切相关费用。本合同项下条款所指"因追讨而产生的一切相关费用"包括但不限于法院案件受理费、保全费、保全保险费、评估费、拍卖费、律师代理费、差旅费等。</w:t>
      </w:r>
    </w:p>
    <w:p>
      <w:pPr>
        <w:rPr>
          <w:rFonts w:hint="eastAsia"/>
          <w:sz w:val="24"/>
          <w:szCs w:val="32"/>
        </w:rPr>
      </w:pPr>
    </w:p>
    <w:p>
      <w:pPr>
        <w:rPr>
          <w:rFonts w:hint="eastAsia"/>
          <w:sz w:val="24"/>
          <w:szCs w:val="32"/>
        </w:rPr>
      </w:pPr>
      <w:r>
        <w:rPr>
          <w:rFonts w:hint="eastAsia"/>
          <w:sz w:val="24"/>
          <w:szCs w:val="32"/>
        </w:rPr>
        <w:t>If Party B violates the provisions of this contract by failing to submit registration work on time (except for delays in registration caused by reasons not attributable to Party B itself), Party A has the right to urge Party B to perform. If Party B still fails to complete the services confirmed in the bill within thirty working days from the date of Party A's reminder, and it is due to Party B's fault, then Party A has the right to terminate this contract and all agency matters. Party B shall return all service fees for uncompleted registrations.</w:t>
      </w:r>
    </w:p>
    <w:p>
      <w:pPr>
        <w:rPr>
          <w:rFonts w:hint="eastAsia"/>
          <w:sz w:val="24"/>
          <w:szCs w:val="32"/>
        </w:rPr>
      </w:pPr>
      <w:r>
        <w:rPr>
          <w:rFonts w:hint="eastAsia"/>
          <w:sz w:val="24"/>
          <w:szCs w:val="32"/>
        </w:rPr>
        <w:t>3. 乙方违反本合同之规定，未按时提交注册工作的（非乙方自身原因导致延期注册的除外），甲方有权向乙方催告。如乙方自甲方催告之日起三十个工作日内仍未完成双方确认账单的服务，且系乙方过错责任导致的，则甲方有权解除本合同，并终止所有代理事项，乙方应当返还所有未注册完成的服务费用。</w:t>
      </w:r>
    </w:p>
    <w:p>
      <w:pPr>
        <w:rPr>
          <w:rFonts w:hint="eastAsia"/>
          <w:sz w:val="24"/>
          <w:szCs w:val="32"/>
        </w:rPr>
      </w:pPr>
    </w:p>
    <w:p>
      <w:pPr>
        <w:rPr>
          <w:rFonts w:hint="eastAsia"/>
          <w:sz w:val="24"/>
          <w:szCs w:val="32"/>
        </w:rPr>
      </w:pPr>
      <w:r>
        <w:rPr>
          <w:rFonts w:hint="eastAsia"/>
          <w:sz w:val="24"/>
          <w:szCs w:val="32"/>
        </w:rPr>
        <w:t>If Party A fails to obtain expected legal rights and interests due to failure to provide materials required for EPR registration agency work in a timely manner or other reasons attributable to Party A itself, Party B shall not bear legal liability.</w:t>
      </w:r>
    </w:p>
    <w:p>
      <w:pPr>
        <w:rPr>
          <w:rFonts w:hint="eastAsia"/>
          <w:sz w:val="24"/>
          <w:szCs w:val="32"/>
        </w:rPr>
      </w:pPr>
      <w:r>
        <w:rPr>
          <w:rFonts w:hint="eastAsia"/>
          <w:sz w:val="24"/>
          <w:szCs w:val="32"/>
        </w:rPr>
        <w:t>4、甲方因未能及时提供 EPR 等注册代理工作所需资料或其他自身原因，导致其未获得预期合法权益的，乙方不承担法律责任。</w:t>
      </w:r>
    </w:p>
    <w:p>
      <w:pPr>
        <w:rPr>
          <w:rFonts w:hint="eastAsia"/>
          <w:sz w:val="24"/>
          <w:szCs w:val="32"/>
        </w:rPr>
      </w:pPr>
    </w:p>
    <w:p>
      <w:pPr>
        <w:rPr>
          <w:rFonts w:hint="eastAsia"/>
          <w:sz w:val="24"/>
          <w:szCs w:val="32"/>
        </w:rPr>
      </w:pPr>
      <w:r>
        <w:rPr>
          <w:rFonts w:hint="eastAsia"/>
          <w:sz w:val="24"/>
          <w:szCs w:val="32"/>
        </w:rPr>
        <w:t>V. Dispute Resolution</w:t>
      </w:r>
    </w:p>
    <w:p>
      <w:pPr>
        <w:rPr>
          <w:rFonts w:hint="eastAsia"/>
          <w:sz w:val="24"/>
          <w:szCs w:val="32"/>
        </w:rPr>
      </w:pPr>
      <w:r>
        <w:rPr>
          <w:rFonts w:hint="eastAsia"/>
          <w:sz w:val="24"/>
          <w:szCs w:val="32"/>
        </w:rPr>
        <w:t>五、纠纷解决</w:t>
      </w:r>
    </w:p>
    <w:p>
      <w:pPr>
        <w:rPr>
          <w:rFonts w:hint="eastAsia"/>
          <w:sz w:val="24"/>
          <w:szCs w:val="32"/>
        </w:rPr>
      </w:pPr>
    </w:p>
    <w:p>
      <w:pPr>
        <w:rPr>
          <w:rFonts w:hint="eastAsia"/>
          <w:sz w:val="24"/>
          <w:szCs w:val="32"/>
        </w:rPr>
      </w:pPr>
      <w:r>
        <w:rPr>
          <w:rFonts w:hint="eastAsia"/>
          <w:sz w:val="24"/>
          <w:szCs w:val="32"/>
        </w:rPr>
        <w:t>Any dispute arising from or in connection with the performance of this Contract shall be settled through friendly negotiations between the Parties. Should such negotiations fail, the dispute shall be submitted to the competent court in the plaintiff's locality for resolution through litigation. All costs and expenses arising from such litigation (including but not limited to court acceptance fees, preservation fees, preservation insurance fees, appraisal fees, auction fees, attorney's fees, travel expenses, etc.) shall be borne by the breaching party.</w:t>
      </w:r>
      <w:r>
        <w:rPr>
          <w:rFonts w:hint="eastAsia"/>
          <w:sz w:val="24"/>
          <w:szCs w:val="32"/>
          <w:lang w:val="en-US" w:eastAsia="zh-CN"/>
        </w:rPr>
        <w:t xml:space="preserve">  1. </w:t>
      </w:r>
      <w:r>
        <w:rPr>
          <w:rFonts w:hint="eastAsia"/>
          <w:sz w:val="24"/>
          <w:szCs w:val="32"/>
        </w:rPr>
        <w:t>如双方在履行本合同过程中发生任何争议，应友好协商解决，协商不成时，提交原告方所在地法院诉讼解决。因诉讼产生的所有费用（包括但不限于法院案件受理费、保全费、保全保险费、评估费、拍卖费、律师代理费、差旅费等费用），均由违约方承担。</w:t>
      </w:r>
    </w:p>
    <w:p>
      <w:pPr>
        <w:rPr>
          <w:rFonts w:hint="eastAsia"/>
          <w:sz w:val="24"/>
          <w:szCs w:val="32"/>
        </w:rPr>
      </w:pPr>
    </w:p>
    <w:p>
      <w:pPr>
        <w:rPr>
          <w:rFonts w:hint="eastAsia"/>
          <w:sz w:val="24"/>
          <w:szCs w:val="32"/>
        </w:rPr>
      </w:pPr>
      <w:r>
        <w:rPr>
          <w:rFonts w:hint="eastAsia"/>
          <w:sz w:val="24"/>
          <w:szCs w:val="32"/>
        </w:rPr>
        <w:t>VI. Supplementary Provisions</w:t>
      </w:r>
    </w:p>
    <w:p>
      <w:pPr>
        <w:rPr>
          <w:rFonts w:hint="eastAsia"/>
          <w:sz w:val="24"/>
          <w:szCs w:val="32"/>
        </w:rPr>
      </w:pPr>
      <w:r>
        <w:rPr>
          <w:rFonts w:hint="eastAsia"/>
          <w:sz w:val="24"/>
          <w:szCs w:val="32"/>
        </w:rPr>
        <w:t>六、附则</w:t>
      </w:r>
    </w:p>
    <w:p>
      <w:pPr>
        <w:rPr>
          <w:rFonts w:hint="eastAsia"/>
          <w:sz w:val="24"/>
          <w:szCs w:val="32"/>
        </w:rPr>
      </w:pPr>
    </w:p>
    <w:p>
      <w:pPr>
        <w:numPr>
          <w:ilvl w:val="0"/>
          <w:numId w:val="0"/>
        </w:numPr>
        <w:rPr>
          <w:rFonts w:hint="eastAsia"/>
          <w:sz w:val="24"/>
          <w:szCs w:val="32"/>
        </w:rPr>
      </w:pPr>
      <w:r>
        <w:rPr>
          <w:rFonts w:hint="eastAsia"/>
          <w:sz w:val="24"/>
          <w:szCs w:val="32"/>
        </w:rPr>
        <w:t>Should the Parties need to amend this Contract or add other terms and conditions to their cooperation, a separate written supplementary agreement mutually agreed upon by both Parties shall be executed. Such supplementary agreement shall become effective only after being signed and sealed by both Party A and Party B, and shall have the same legal effect as this Contract.</w:t>
      </w:r>
    </w:p>
    <w:p>
      <w:pPr>
        <w:numPr>
          <w:ilvl w:val="0"/>
          <w:numId w:val="9"/>
        </w:numPr>
        <w:rPr>
          <w:rFonts w:hint="eastAsia"/>
          <w:sz w:val="24"/>
          <w:szCs w:val="32"/>
        </w:rPr>
      </w:pPr>
      <w:r>
        <w:rPr>
          <w:rFonts w:hint="eastAsia"/>
          <w:sz w:val="24"/>
          <w:szCs w:val="32"/>
        </w:rPr>
        <w:t>如果甲乙双方需要就双方的合作增加其它合同条款，需另外签订双方同意的书面补充协议，补充协议经甲、乙双方签字和盖章后有效，与本合同具有同等效力。</w:t>
      </w:r>
    </w:p>
    <w:p>
      <w:pPr>
        <w:rPr>
          <w:rFonts w:hint="eastAsia"/>
          <w:sz w:val="24"/>
          <w:szCs w:val="32"/>
        </w:rPr>
      </w:pPr>
    </w:p>
    <w:p>
      <w:pPr>
        <w:rPr>
          <w:rFonts w:hint="eastAsia"/>
          <w:sz w:val="24"/>
          <w:szCs w:val="32"/>
        </w:rPr>
      </w:pPr>
      <w:r>
        <w:rPr>
          <w:rFonts w:hint="eastAsia"/>
          <w:sz w:val="24"/>
          <w:szCs w:val="32"/>
        </w:rPr>
        <w:t>The provisions of this Contract are severable. If any provision of this Contract is held to be invalid or unenforceable, the validity and enforceability of the remaining provisions shall not be affected.</w:t>
      </w:r>
    </w:p>
    <w:p>
      <w:pPr>
        <w:rPr>
          <w:rFonts w:hint="eastAsia"/>
          <w:sz w:val="24"/>
          <w:szCs w:val="32"/>
        </w:rPr>
      </w:pPr>
      <w:r>
        <w:rPr>
          <w:rFonts w:hint="eastAsia"/>
          <w:sz w:val="24"/>
          <w:szCs w:val="32"/>
        </w:rPr>
        <w:t>2. 本合同的条款均具有独立性，其中任何条款或规定的无效，并不影响其他条款或规定的效力。</w:t>
      </w:r>
    </w:p>
    <w:p>
      <w:pPr>
        <w:rPr>
          <w:rFonts w:hint="eastAsia"/>
          <w:sz w:val="24"/>
          <w:szCs w:val="32"/>
        </w:rPr>
      </w:pPr>
    </w:p>
    <w:p>
      <w:pPr>
        <w:rPr>
          <w:rFonts w:hint="eastAsia"/>
          <w:sz w:val="24"/>
          <w:szCs w:val="32"/>
        </w:rPr>
      </w:pPr>
      <w:r>
        <w:rPr>
          <w:rFonts w:hint="eastAsia"/>
          <w:sz w:val="24"/>
          <w:szCs w:val="32"/>
        </w:rPr>
        <w:t>This contract is made in duplicate, with each party holding one copy. Both copies have equal legal effect.</w:t>
      </w:r>
    </w:p>
    <w:p>
      <w:pPr>
        <w:rPr>
          <w:rFonts w:hint="eastAsia"/>
          <w:sz w:val="24"/>
          <w:szCs w:val="32"/>
        </w:rPr>
      </w:pPr>
      <w:r>
        <w:rPr>
          <w:rFonts w:hint="eastAsia"/>
          <w:sz w:val="24"/>
          <w:szCs w:val="32"/>
        </w:rPr>
        <w:t>3. 本合同一式贰份，双方各执壹份，均具有同等法律效力。</w:t>
      </w:r>
    </w:p>
    <w:p>
      <w:pPr>
        <w:rPr>
          <w:rFonts w:hint="eastAsia"/>
          <w:sz w:val="24"/>
          <w:szCs w:val="32"/>
        </w:rPr>
      </w:pPr>
    </w:p>
    <w:p>
      <w:pPr>
        <w:rPr>
          <w:rFonts w:hint="eastAsia"/>
          <w:sz w:val="24"/>
          <w:szCs w:val="32"/>
        </w:rPr>
      </w:pPr>
      <w:r>
        <w:rPr>
          <w:rFonts w:hint="eastAsia"/>
          <w:sz w:val="24"/>
          <w:szCs w:val="32"/>
        </w:rPr>
        <w:t>Any written notices, email notices, and legal documents for dispute resolution issued by either party pursuant to this contract shall be sent according to the contact address, email address, telephone number, and contact person information in the header of this contract. If either party changes the information in the header of the contract, it shall notify the other party in writing 7 working days in advance. Otherwise, notices or emails sent by one party to the address before the change shall be deemed delivered, and all consequences arising therefrom shall be borne by the changing party.</w:t>
      </w:r>
    </w:p>
    <w:p>
      <w:pPr>
        <w:rPr>
          <w:rFonts w:hint="eastAsia"/>
          <w:sz w:val="24"/>
          <w:szCs w:val="32"/>
        </w:rPr>
      </w:pPr>
      <w:r>
        <w:rPr>
          <w:rFonts w:hint="eastAsia"/>
          <w:sz w:val="24"/>
          <w:szCs w:val="32"/>
        </w:rPr>
        <w:t>4、双方依据本合同发出的任何书面通知、邮件通知及争议解决时法律文书等文件均应按照合同首部的通讯地址、邮箱地址、联系电话、联系人等信息发出，任何一方变更合同首部的信息的，应提前 7 个工作日书面告知对方，否则，一方按照变更前地址发送通知或邮件的视为送达，由此产生的一切后果由变更方自行承担。</w:t>
      </w:r>
    </w:p>
    <w:p>
      <w:pPr>
        <w:rPr>
          <w:rFonts w:hint="eastAsia"/>
          <w:sz w:val="24"/>
          <w:szCs w:val="32"/>
        </w:rPr>
      </w:pPr>
    </w:p>
    <w:p>
      <w:pPr>
        <w:rPr>
          <w:rFonts w:hint="eastAsia"/>
          <w:sz w:val="24"/>
          <w:szCs w:val="32"/>
        </w:rPr>
      </w:pPr>
      <w:r>
        <w:rPr>
          <w:rFonts w:hint="eastAsia"/>
          <w:sz w:val="24"/>
          <w:szCs w:val="32"/>
        </w:rPr>
        <w:t>(This space is intentionally left blank. The following is the signature and seal area for both parties.)</w:t>
      </w:r>
    </w:p>
    <w:p>
      <w:pPr>
        <w:rPr>
          <w:rFonts w:hint="eastAsia"/>
          <w:sz w:val="24"/>
          <w:szCs w:val="32"/>
        </w:rPr>
      </w:pPr>
      <w:r>
        <w:rPr>
          <w:rFonts w:hint="eastAsia"/>
          <w:sz w:val="24"/>
          <w:szCs w:val="32"/>
        </w:rPr>
        <w:t>（以下无正文，为双方签字盖章处）</w:t>
      </w:r>
    </w:p>
    <w:p>
      <w:pPr>
        <w:rPr>
          <w:rFonts w:hint="eastAsia"/>
          <w:sz w:val="24"/>
          <w:szCs w:val="32"/>
        </w:rPr>
      </w:pPr>
    </w:p>
    <w:p>
      <w:pPr>
        <w:rPr>
          <w:rFonts w:hint="eastAsia"/>
          <w:sz w:val="24"/>
          <w:szCs w:val="32"/>
        </w:rPr>
      </w:pPr>
      <w:r>
        <w:rPr>
          <w:rFonts w:hint="eastAsia"/>
          <w:sz w:val="24"/>
          <w:szCs w:val="32"/>
        </w:rPr>
        <w:t>Party A: (Seal)</w:t>
      </w:r>
    </w:p>
    <w:p>
      <w:pPr>
        <w:rPr>
          <w:rFonts w:hint="eastAsia"/>
          <w:sz w:val="24"/>
          <w:szCs w:val="32"/>
        </w:rPr>
      </w:pPr>
      <w:r>
        <w:rPr>
          <w:rFonts w:hint="eastAsia"/>
          <w:sz w:val="24"/>
          <w:szCs w:val="32"/>
        </w:rPr>
        <w:t>甲方：（盖章）</w:t>
      </w:r>
    </w:p>
    <w:p>
      <w:pPr>
        <w:rPr>
          <w:rFonts w:hint="eastAsia"/>
          <w:sz w:val="24"/>
          <w:szCs w:val="32"/>
        </w:rPr>
      </w:pPr>
    </w:p>
    <w:p>
      <w:pPr>
        <w:rPr>
          <w:rFonts w:hint="eastAsia"/>
          <w:sz w:val="24"/>
          <w:szCs w:val="32"/>
        </w:rPr>
      </w:pPr>
      <w:r>
        <w:rPr>
          <w:rFonts w:hint="eastAsia"/>
          <w:sz w:val="24"/>
          <w:szCs w:val="32"/>
        </w:rPr>
        <w:t>Authorized Representative: (Signature)</w:t>
      </w:r>
    </w:p>
    <w:p>
      <w:pPr>
        <w:rPr>
          <w:rFonts w:hint="eastAsia"/>
          <w:sz w:val="24"/>
          <w:szCs w:val="32"/>
        </w:rPr>
      </w:pPr>
      <w:r>
        <w:rPr>
          <w:rFonts w:hint="eastAsia"/>
          <w:sz w:val="24"/>
          <w:szCs w:val="32"/>
        </w:rPr>
        <w:t>授权代表：（签字）</w:t>
      </w:r>
    </w:p>
    <w:p>
      <w:pPr>
        <w:rPr>
          <w:rFonts w:hint="eastAsia"/>
          <w:sz w:val="24"/>
          <w:szCs w:val="32"/>
        </w:rPr>
      </w:pPr>
    </w:p>
    <w:p>
      <w:pPr>
        <w:rPr>
          <w:rFonts w:hint="eastAsia"/>
          <w:sz w:val="24"/>
          <w:szCs w:val="32"/>
        </w:rPr>
      </w:pPr>
      <w:r>
        <w:rPr>
          <w:rFonts w:hint="eastAsia"/>
          <w:sz w:val="24"/>
          <w:szCs w:val="32"/>
        </w:rPr>
        <w:t>Date:</w:t>
      </w:r>
    </w:p>
    <w:p>
      <w:pPr>
        <w:rPr>
          <w:rFonts w:hint="eastAsia"/>
          <w:sz w:val="24"/>
          <w:szCs w:val="32"/>
        </w:rPr>
      </w:pPr>
      <w:r>
        <w:rPr>
          <w:rFonts w:hint="eastAsia"/>
          <w:sz w:val="24"/>
          <w:szCs w:val="32"/>
        </w:rPr>
        <w:t>日期： 年</w:t>
      </w:r>
      <w:r>
        <w:rPr>
          <w:rFonts w:hint="eastAsia"/>
          <w:sz w:val="24"/>
          <w:szCs w:val="32"/>
          <w:lang w:val="en-US" w:eastAsia="zh-CN"/>
        </w:rPr>
        <w:t xml:space="preserve">  </w:t>
      </w:r>
      <w:r>
        <w:rPr>
          <w:rFonts w:hint="eastAsia"/>
          <w:sz w:val="24"/>
          <w:szCs w:val="32"/>
        </w:rPr>
        <w:t xml:space="preserve"> 月</w:t>
      </w:r>
      <w:r>
        <w:rPr>
          <w:rFonts w:hint="eastAsia"/>
          <w:sz w:val="24"/>
          <w:szCs w:val="32"/>
          <w:lang w:val="en-US" w:eastAsia="zh-CN"/>
        </w:rPr>
        <w:t xml:space="preserve">  </w:t>
      </w:r>
      <w:r>
        <w:rPr>
          <w:rFonts w:hint="eastAsia"/>
          <w:sz w:val="24"/>
          <w:szCs w:val="32"/>
        </w:rPr>
        <w:t xml:space="preserve"> 日</w:t>
      </w:r>
    </w:p>
    <w:p>
      <w:pPr>
        <w:rPr>
          <w:rFonts w:hint="eastAsia"/>
          <w:sz w:val="24"/>
          <w:szCs w:val="32"/>
        </w:rPr>
      </w:pPr>
    </w:p>
    <w:p>
      <w:pPr>
        <w:rPr>
          <w:rFonts w:hint="eastAsia"/>
          <w:sz w:val="24"/>
          <w:szCs w:val="32"/>
        </w:rPr>
      </w:pPr>
      <w:r>
        <w:rPr>
          <w:rFonts w:hint="eastAsia"/>
          <w:sz w:val="24"/>
          <w:szCs w:val="32"/>
        </w:rPr>
        <w:t>Party B: (Seal)</w:t>
      </w:r>
    </w:p>
    <w:p>
      <w:pPr>
        <w:rPr>
          <w:rFonts w:hint="eastAsia"/>
          <w:sz w:val="24"/>
          <w:szCs w:val="32"/>
        </w:rPr>
      </w:pPr>
      <w:r>
        <w:rPr>
          <w:rFonts w:hint="eastAsia"/>
          <w:sz w:val="24"/>
          <w:szCs w:val="32"/>
        </w:rPr>
        <w:t>乙方：（盖章）</w:t>
      </w:r>
    </w:p>
    <w:p>
      <w:pPr>
        <w:rPr>
          <w:rFonts w:hint="eastAsia"/>
          <w:sz w:val="24"/>
          <w:szCs w:val="32"/>
        </w:rPr>
      </w:pPr>
    </w:p>
    <w:p>
      <w:pPr>
        <w:rPr>
          <w:rFonts w:hint="eastAsia"/>
          <w:sz w:val="24"/>
          <w:szCs w:val="32"/>
        </w:rPr>
      </w:pPr>
      <w:r>
        <w:rPr>
          <w:rFonts w:hint="eastAsia"/>
          <w:sz w:val="24"/>
          <w:szCs w:val="32"/>
        </w:rPr>
        <w:t>Authorized Representative: (Signature)</w:t>
      </w:r>
    </w:p>
    <w:p>
      <w:pPr>
        <w:rPr>
          <w:rFonts w:hint="eastAsia"/>
          <w:sz w:val="24"/>
          <w:szCs w:val="32"/>
        </w:rPr>
      </w:pPr>
      <w:r>
        <w:rPr>
          <w:rFonts w:hint="eastAsia"/>
          <w:sz w:val="24"/>
          <w:szCs w:val="32"/>
        </w:rPr>
        <w:t>授权代表：（签字）</w:t>
      </w:r>
    </w:p>
    <w:p>
      <w:pPr>
        <w:rPr>
          <w:rFonts w:hint="eastAsia"/>
          <w:sz w:val="24"/>
          <w:szCs w:val="32"/>
        </w:rPr>
      </w:pPr>
    </w:p>
    <w:p>
      <w:pPr>
        <w:rPr>
          <w:rFonts w:hint="eastAsia"/>
          <w:sz w:val="24"/>
          <w:szCs w:val="32"/>
        </w:rPr>
      </w:pPr>
      <w:r>
        <w:rPr>
          <w:rFonts w:hint="eastAsia"/>
          <w:sz w:val="24"/>
          <w:szCs w:val="32"/>
        </w:rPr>
        <w:t>Date:</w:t>
      </w:r>
    </w:p>
    <w:p>
      <w:pPr>
        <w:rPr>
          <w:rFonts w:hint="eastAsia"/>
          <w:sz w:val="24"/>
          <w:szCs w:val="32"/>
        </w:rPr>
      </w:pPr>
      <w:r>
        <w:rPr>
          <w:rFonts w:hint="eastAsia"/>
          <w:sz w:val="24"/>
          <w:szCs w:val="32"/>
        </w:rPr>
        <w:t xml:space="preserve">日期： 年 </w:t>
      </w:r>
      <w:r>
        <w:rPr>
          <w:rFonts w:hint="eastAsia"/>
          <w:sz w:val="24"/>
          <w:szCs w:val="32"/>
          <w:lang w:val="en-US" w:eastAsia="zh-CN"/>
        </w:rPr>
        <w:t xml:space="preserve">  </w:t>
      </w:r>
      <w:r>
        <w:rPr>
          <w:rFonts w:hint="eastAsia"/>
          <w:sz w:val="24"/>
          <w:szCs w:val="32"/>
        </w:rPr>
        <w:t>月</w:t>
      </w:r>
      <w:r>
        <w:rPr>
          <w:rFonts w:hint="eastAsia"/>
          <w:sz w:val="24"/>
          <w:szCs w:val="32"/>
          <w:lang w:val="en-US" w:eastAsia="zh-CN"/>
        </w:rPr>
        <w:t xml:space="preserve">  </w:t>
      </w:r>
      <w:r>
        <w:rPr>
          <w:rFonts w:hint="eastAsia"/>
          <w:sz w:val="24"/>
          <w:szCs w:val="32"/>
        </w:rPr>
        <w:t xml:space="preserve"> 日</w:t>
      </w:r>
    </w:p>
    <w:p>
      <w:pPr>
        <w:rPr>
          <w:rFonts w:hint="eastAsia"/>
          <w:sz w:val="24"/>
          <w:szCs w:val="32"/>
        </w:rPr>
      </w:pPr>
    </w:p>
    <w:p>
      <w:pPr>
        <w:rPr>
          <w:rFonts w:hint="eastAsia"/>
          <w:sz w:val="24"/>
          <w:szCs w:val="32"/>
        </w:rPr>
      </w:pPr>
      <w:r>
        <w:rPr>
          <w:rFonts w:hint="eastAsia"/>
          <w:sz w:val="24"/>
          <w:szCs w:val="32"/>
        </w:rPr>
        <w:t>Annex: Statement of Risks in EPR Compliance Services:</w:t>
      </w:r>
    </w:p>
    <w:p>
      <w:pPr>
        <w:rPr>
          <w:rFonts w:hint="eastAsia"/>
          <w:sz w:val="24"/>
          <w:szCs w:val="32"/>
        </w:rPr>
      </w:pPr>
      <w:r>
        <w:rPr>
          <w:rFonts w:hint="eastAsia"/>
          <w:sz w:val="24"/>
          <w:szCs w:val="32"/>
        </w:rPr>
        <w:t>附件： EPR 合规服务存在的风险申明：</w:t>
      </w:r>
    </w:p>
    <w:tbl>
      <w:tblPr>
        <w:tblStyle w:val="5"/>
        <w:tblW w:w="1087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1"/>
        <w:gridCol w:w="2287"/>
        <w:gridCol w:w="2704"/>
        <w:gridCol w:w="508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69" w:hRule="atLeast"/>
        </w:trPr>
        <w:tc>
          <w:tcPr>
            <w:tcW w:w="801" w:type="dxa"/>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t>编号</w:t>
            </w:r>
          </w:p>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lang w:val="en-US" w:eastAsia="zh-CN"/>
              </w:rPr>
              <w:t>No.</w:t>
            </w:r>
          </w:p>
        </w:tc>
        <w:tc>
          <w:tcPr>
            <w:tcW w:w="2287" w:type="dxa"/>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t>风险点</w:t>
            </w:r>
          </w:p>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Risk point</w:t>
            </w:r>
          </w:p>
        </w:tc>
        <w:tc>
          <w:tcPr>
            <w:tcW w:w="2704" w:type="dxa"/>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t>常见表现形式</w:t>
            </w:r>
          </w:p>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Common manifestations</w:t>
            </w:r>
          </w:p>
        </w:tc>
        <w:tc>
          <w:tcPr>
            <w:tcW w:w="5086" w:type="dxa"/>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t>导致的结果或处理方式</w:t>
            </w:r>
          </w:p>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Result or treatment method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36" w:hRule="atLeast"/>
        </w:trPr>
        <w:tc>
          <w:tcPr>
            <w:tcW w:w="801" w:type="dxa"/>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t>1</w:t>
            </w:r>
          </w:p>
        </w:tc>
        <w:tc>
          <w:tcPr>
            <w:tcW w:w="2287" w:type="dxa"/>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t>申请资料</w:t>
            </w:r>
          </w:p>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Application data</w:t>
            </w:r>
          </w:p>
        </w:tc>
        <w:tc>
          <w:tcPr>
            <w:tcW w:w="2704" w:type="dxa"/>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t>甲方未按照乙方要求提交客户资料，导致提交的资料不完整。</w:t>
            </w:r>
          </w:p>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color="auto" w:fill="auto"/>
              <w:kinsoku w:val="0"/>
              <w:wordWrap/>
              <w:overflowPunct/>
              <w:topLinePunct w:val="0"/>
              <w:autoSpaceDE w:val="0"/>
              <w:autoSpaceDN w:val="0"/>
              <w:bidi w:val="0"/>
              <w:adjustRightInd w:val="0"/>
              <w:snapToGrid w:val="0"/>
              <w:spacing w:before="0" w:after="0" w:line="240" w:lineRule="auto"/>
              <w:ind w:left="100" w:right="0" w:firstLine="0"/>
              <w:jc w:val="left"/>
              <w:textAlignment w:val="baseline"/>
              <w:rPr>
                <w:rFonts w:hint="eastAsia" w:asciiTheme="minorEastAsia" w:hAnsiTheme="minorEastAsia" w:eastAsiaTheme="minorEastAsia" w:cstheme="minorEastAsia"/>
                <w:b w:val="0"/>
                <w:i w:val="0"/>
                <w:smallCaps w:val="0"/>
                <w:strike w:val="0"/>
                <w:color w:val="000000"/>
                <w:sz w:val="24"/>
                <w:szCs w:val="24"/>
                <w:u w:val="none"/>
                <w:shd w:val="clear" w:color="auto" w:fill="auto"/>
                <w:vertAlign w:val="baseline"/>
              </w:rPr>
            </w:pP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Party A fails to comply with Party B's requirements</w:t>
            </w:r>
          </w:p>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eastAsia="宋体" w:cs="Arial"/>
                <w:b w:val="0"/>
                <w:bCs w:val="0"/>
                <w:i w:val="0"/>
                <w:iCs w:val="0"/>
                <w:smallCaps w:val="0"/>
                <w:strike w:val="0"/>
                <w:color w:val="000000"/>
                <w:sz w:val="24"/>
                <w:szCs w:val="24"/>
                <w:highlight w:val="none"/>
                <w:u w:val="none"/>
                <w:shd w:val="clear" w:color="auto" w:fill="auto"/>
                <w:vertAlign w:val="baseline"/>
                <w:rtl w:val="0"/>
                <w:lang w:val="en-US" w:eastAsia="zh-CN"/>
              </w:rPr>
              <w:t>s</w:t>
            </w: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ubmit customer data, resulting in incomplete data submitted by .</w:t>
            </w:r>
          </w:p>
        </w:tc>
        <w:tc>
          <w:tcPr>
            <w:tcW w:w="5086" w:type="dxa"/>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t>乙方重复审核，耽误申请进度。</w:t>
            </w:r>
          </w:p>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Party B repeats the review, delaying the application progress.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622" w:hRule="atLeast"/>
        </w:trPr>
        <w:tc>
          <w:tcPr>
            <w:tcW w:w="801" w:type="dxa"/>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t>2</w:t>
            </w:r>
          </w:p>
        </w:tc>
        <w:tc>
          <w:tcPr>
            <w:tcW w:w="2287" w:type="dxa"/>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t>申请资料</w:t>
            </w:r>
          </w:p>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Application data</w:t>
            </w:r>
          </w:p>
        </w:tc>
        <w:tc>
          <w:tcPr>
            <w:tcW w:w="2704" w:type="dxa"/>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t>甲方未按照乙方要求提交客户资料，有意或无意提交虚假资料。</w:t>
            </w:r>
          </w:p>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color="auto" w:fill="auto"/>
              <w:kinsoku w:val="0"/>
              <w:wordWrap/>
              <w:overflowPunct/>
              <w:topLinePunct w:val="0"/>
              <w:autoSpaceDE w:val="0"/>
              <w:autoSpaceDN w:val="0"/>
              <w:bidi w:val="0"/>
              <w:adjustRightInd w:val="0"/>
              <w:snapToGrid w:val="0"/>
              <w:spacing w:before="0" w:after="0" w:line="240" w:lineRule="auto"/>
              <w:ind w:left="100" w:right="0" w:firstLine="0"/>
              <w:jc w:val="left"/>
              <w:textAlignment w:val="baseline"/>
              <w:rPr>
                <w:rFonts w:hint="eastAsia" w:asciiTheme="minorEastAsia" w:hAnsiTheme="minorEastAsia" w:eastAsiaTheme="minorEastAsia" w:cstheme="minorEastAsia"/>
                <w:b w:val="0"/>
                <w:i w:val="0"/>
                <w:smallCaps w:val="0"/>
                <w:strike w:val="0"/>
                <w:color w:val="000000"/>
                <w:sz w:val="24"/>
                <w:szCs w:val="24"/>
                <w:u w:val="none"/>
                <w:shd w:val="clear" w:color="auto" w:fill="auto"/>
                <w:vertAlign w:val="baseline"/>
              </w:rPr>
            </w:pP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Party A fails to comply with Party B's requirements</w:t>
            </w:r>
          </w:p>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eastAsia="宋体" w:cs="Arial"/>
                <w:b w:val="0"/>
                <w:bCs w:val="0"/>
                <w:i w:val="0"/>
                <w:iCs w:val="0"/>
                <w:strike w:val="0"/>
                <w:color w:val="000000"/>
                <w:sz w:val="24"/>
                <w:szCs w:val="24"/>
                <w:highlight w:val="none"/>
                <w:u w:val="none"/>
                <w:shd w:val="clear" w:color="auto" w:fill="auto"/>
                <w:vertAlign w:val="baseline"/>
                <w:rtl w:val="0"/>
                <w:lang w:val="en-US" w:eastAsia="zh-CN"/>
              </w:rPr>
              <w:t>S</w:t>
            </w: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ubmit</w:t>
            </w:r>
            <w:r>
              <w:rPr>
                <w:rFonts w:hint="eastAsia" w:ascii="Arial" w:hAnsi="Arial" w:eastAsia="宋体" w:cs="Arial"/>
                <w:b w:val="0"/>
                <w:bCs w:val="0"/>
                <w:i w:val="0"/>
                <w:iCs w:val="0"/>
                <w:smallCaps w:val="0"/>
                <w:strike w:val="0"/>
                <w:color w:val="000000"/>
                <w:sz w:val="24"/>
                <w:szCs w:val="24"/>
                <w:highlight w:val="none"/>
                <w:u w:val="none"/>
                <w:shd w:val="clear" w:color="auto" w:fill="auto"/>
                <w:vertAlign w:val="baseline"/>
                <w:rtl w:val="0"/>
                <w:lang w:val="en-US" w:eastAsia="zh-CN"/>
              </w:rPr>
              <w:t xml:space="preserve"> </w:t>
            </w: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customer information, intentionally or unintentionally submit false information.</w:t>
            </w:r>
          </w:p>
        </w:tc>
        <w:tc>
          <w:tcPr>
            <w:tcW w:w="5086" w:type="dxa"/>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t>若乙方发现资料问题，应及时制止并有权拒绝针对该客户的服务；若乙方未发现问题，但官方机构发现问题，则产生的罚款应由甲方承担，乙方有权向甲方追偿并注销账号。</w:t>
            </w:r>
          </w:p>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If Party B finds any material problem, it shall stop it in time and have the right to refuse service to the customer; If Party B does not find the problem, but the official finds the problem, the penalty incurred shall be borne by Party A and the customer, and Party B has the right to claim compensation from Party A and cancel the account.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622" w:hRule="atLeast"/>
        </w:trPr>
        <w:tc>
          <w:tcPr>
            <w:tcW w:w="801" w:type="dxa"/>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t>3</w:t>
            </w:r>
          </w:p>
        </w:tc>
        <w:tc>
          <w:tcPr>
            <w:tcW w:w="2287" w:type="dxa"/>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t>申请资料</w:t>
            </w:r>
          </w:p>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Application data</w:t>
            </w:r>
          </w:p>
        </w:tc>
        <w:tc>
          <w:tcPr>
            <w:tcW w:w="2704" w:type="dxa"/>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t>甲方正常提交完整的资料，但客户的邮箱无效。</w:t>
            </w:r>
          </w:p>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color="auto" w:fill="auto"/>
              <w:kinsoku w:val="0"/>
              <w:wordWrap/>
              <w:overflowPunct/>
              <w:topLinePunct w:val="0"/>
              <w:autoSpaceDE w:val="0"/>
              <w:autoSpaceDN w:val="0"/>
              <w:bidi w:val="0"/>
              <w:adjustRightInd w:val="0"/>
              <w:snapToGrid w:val="0"/>
              <w:spacing w:before="0" w:after="0" w:line="240" w:lineRule="auto"/>
              <w:ind w:left="100" w:right="0" w:firstLine="0"/>
              <w:jc w:val="left"/>
              <w:textAlignment w:val="baseline"/>
              <w:rPr>
                <w:rFonts w:hint="eastAsia" w:asciiTheme="minorEastAsia" w:hAnsiTheme="minorEastAsia" w:eastAsiaTheme="minorEastAsia" w:cstheme="minorEastAsia"/>
                <w:b w:val="0"/>
                <w:i w:val="0"/>
                <w:smallCaps w:val="0"/>
                <w:strike w:val="0"/>
                <w:color w:val="000000"/>
                <w:sz w:val="24"/>
                <w:szCs w:val="24"/>
                <w:u w:val="none"/>
                <w:shd w:val="clear" w:color="auto" w:fill="auto"/>
                <w:vertAlign w:val="baseline"/>
              </w:rPr>
            </w:pP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Party A normally submits complete</w:t>
            </w:r>
          </w:p>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eastAsia="宋体" w:cs="Arial"/>
                <w:b w:val="0"/>
                <w:bCs w:val="0"/>
                <w:i w:val="0"/>
                <w:iCs w:val="0"/>
                <w:smallCaps w:val="0"/>
                <w:strike w:val="0"/>
                <w:color w:val="000000"/>
                <w:sz w:val="24"/>
                <w:szCs w:val="24"/>
                <w:highlight w:val="none"/>
                <w:u w:val="none"/>
                <w:shd w:val="clear" w:color="auto" w:fill="auto"/>
                <w:vertAlign w:val="baseline"/>
                <w:rtl w:val="0"/>
                <w:lang w:val="en-US" w:eastAsia="zh-CN"/>
              </w:rPr>
              <w:t>d</w:t>
            </w: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ata, but the customer's mailbox is invalid.</w:t>
            </w:r>
          </w:p>
        </w:tc>
        <w:tc>
          <w:tcPr>
            <w:tcW w:w="5086" w:type="dxa"/>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t>若甲方提供的客户邮箱无效或无法收取官方机构的邮件，则乙方可能在3个月后收到官方机构的处理通知并及时联系甲方提供新的客户邮箱，申请进度可能延迟。</w:t>
            </w:r>
          </w:p>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color="auto" w:fill="auto"/>
              <w:kinsoku w:val="0"/>
              <w:wordWrap/>
              <w:overflowPunct/>
              <w:topLinePunct w:val="0"/>
              <w:autoSpaceDE w:val="0"/>
              <w:autoSpaceDN w:val="0"/>
              <w:bidi w:val="0"/>
              <w:adjustRightInd w:val="0"/>
              <w:snapToGrid w:val="0"/>
              <w:spacing w:before="0" w:after="0" w:line="240" w:lineRule="auto"/>
              <w:ind w:left="100" w:right="0" w:firstLine="0"/>
              <w:jc w:val="left"/>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In the event that the customer email address provided by Party A is invalid or cannot receive emails from the official authorities, Party B may receive a processing notification from said authorities after a period of three (3) months and shall promptly contact Party A to provide a new customer email address. The application progress may be delayed as a result.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09" w:hRule="atLeast"/>
        </w:trPr>
        <w:tc>
          <w:tcPr>
            <w:tcW w:w="801" w:type="dxa"/>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t>4</w:t>
            </w:r>
          </w:p>
        </w:tc>
        <w:tc>
          <w:tcPr>
            <w:tcW w:w="2287" w:type="dxa"/>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t>申请资料</w:t>
            </w:r>
          </w:p>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Application data</w:t>
            </w:r>
          </w:p>
        </w:tc>
        <w:tc>
          <w:tcPr>
            <w:tcW w:w="2704" w:type="dxa"/>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t>甲方正常提交正确完整的资料，在乙方递交资料给官方机构的过程中，客户的USCC号显示已授权给其他服务商。</w:t>
            </w:r>
          </w:p>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color="auto" w:fill="auto"/>
              <w:kinsoku w:val="0"/>
              <w:wordWrap/>
              <w:overflowPunct/>
              <w:topLinePunct w:val="0"/>
              <w:autoSpaceDE w:val="0"/>
              <w:autoSpaceDN w:val="0"/>
              <w:bidi w:val="0"/>
              <w:adjustRightInd w:val="0"/>
              <w:snapToGrid w:val="0"/>
              <w:spacing w:before="0" w:after="0" w:line="240" w:lineRule="auto"/>
              <w:ind w:left="100" w:right="0" w:firstLine="0"/>
              <w:jc w:val="left"/>
              <w:textAlignment w:val="baseline"/>
              <w:rPr>
                <w:rFonts w:hint="eastAsia" w:asciiTheme="minorEastAsia" w:hAnsiTheme="minorEastAsia" w:eastAsiaTheme="minorEastAsia" w:cstheme="minorEastAsia"/>
                <w:b w:val="0"/>
                <w:i w:val="0"/>
                <w:smallCaps w:val="0"/>
                <w:strike w:val="0"/>
                <w:color w:val="000000"/>
                <w:sz w:val="24"/>
                <w:szCs w:val="24"/>
                <w:u w:val="none"/>
                <w:shd w:val="clear" w:color="auto" w:fill="auto"/>
                <w:vertAlign w:val="baseline"/>
              </w:rPr>
            </w:pP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Party A submits normally and correctly</w:t>
            </w:r>
          </w:p>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In the process of Party B submitting the information to the official, the customer's USCC shows that it has authorized other service providers.</w:t>
            </w:r>
          </w:p>
        </w:tc>
        <w:tc>
          <w:tcPr>
            <w:tcW w:w="5086" w:type="dxa"/>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t>乙方应及时</w:t>
            </w:r>
            <w:r>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t>向甲方反馈情况，</w:t>
            </w:r>
            <w:r>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t>若该客户想继续授权乙方为授权代表，则需由客户向官方机构发送乙方作为该客户唯一授权代表的申明，等待客户前一段授权关系结束后，乙方继续提交客户资料；若客户不想更换已有授权代表，则由甲方书面提交撤单申请。</w:t>
            </w:r>
          </w:p>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color="auto" w:fill="auto"/>
              <w:kinsoku w:val="0"/>
              <w:wordWrap/>
              <w:overflowPunct/>
              <w:topLinePunct w:val="0"/>
              <w:autoSpaceDE w:val="0"/>
              <w:autoSpaceDN w:val="0"/>
              <w:bidi w:val="0"/>
              <w:adjustRightInd w:val="0"/>
              <w:snapToGrid w:val="0"/>
              <w:spacing w:before="0" w:after="0" w:line="240" w:lineRule="auto"/>
              <w:ind w:left="100" w:right="0" w:firstLine="0"/>
              <w:jc w:val="left"/>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Party B shall promptly notify Party A of the situation. If the customer intends to continue authorizing Party B as the authorized representative, the customer must send a declaration to the official institution stating Party B as its sole authorized representative. Party B shall resume submitting the customer's materials only after the customer's previous authorization relationship has ended. If the customer does not wish to change the existing authorized representative, Party A shall submit a written order cancellation request.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36" w:hRule="atLeast"/>
        </w:trPr>
        <w:tc>
          <w:tcPr>
            <w:tcW w:w="801" w:type="dxa"/>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t>5</w:t>
            </w:r>
          </w:p>
        </w:tc>
        <w:tc>
          <w:tcPr>
            <w:tcW w:w="2287" w:type="dxa"/>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rPr>
            </w:pPr>
            <w:r>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rPr>
              <w:t>提交资料后，官方审核过程</w:t>
            </w:r>
          </w:p>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Official review process after submittal</w:t>
            </w:r>
          </w:p>
        </w:tc>
        <w:tc>
          <w:tcPr>
            <w:tcW w:w="2704" w:type="dxa"/>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t>甲方按照乙方要求提交客户资料且乙方按时将资料提交给官方机构。</w:t>
            </w:r>
          </w:p>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Party A shall submit customer information as required by Party B and Party B shall submit the information to the official on time.</w:t>
            </w:r>
          </w:p>
        </w:tc>
        <w:tc>
          <w:tcPr>
            <w:tcW w:w="5086" w:type="dxa"/>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t>正常申请</w:t>
            </w:r>
            <w:r>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t>的</w:t>
            </w:r>
            <w:r>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t>3个月内会有官方的通知（下证或需要补充修改资料），乙方</w:t>
            </w:r>
            <w:r>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t>会</w:t>
            </w:r>
            <w:r>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t>在提交资料后的3个月，询问审核进度，根据实际情况，积极和甲方沟通。</w:t>
            </w:r>
          </w:p>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For a standard application, an official notification (either certificate issuance or a request for supplementary/revised materials) is typically issued within three (3) months. Party B shall inquire about the review status three (3) months after submission and will proactively communicate with Party A based on the actual situation.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36" w:hRule="atLeast"/>
        </w:trPr>
        <w:tc>
          <w:tcPr>
            <w:tcW w:w="801" w:type="dxa"/>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t>6</w:t>
            </w:r>
          </w:p>
        </w:tc>
        <w:tc>
          <w:tcPr>
            <w:tcW w:w="2287" w:type="dxa"/>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rPr>
            </w:pPr>
            <w:r>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rPr>
              <w:t>申报数据</w:t>
            </w:r>
          </w:p>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Declaration data</w:t>
            </w:r>
          </w:p>
        </w:tc>
        <w:tc>
          <w:tcPr>
            <w:tcW w:w="2704" w:type="dxa"/>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t>甲方未按时如实将客户的申报数据发送给乙方或通过系统进行申报。</w:t>
            </w:r>
          </w:p>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color="auto" w:fill="auto"/>
              <w:kinsoku w:val="0"/>
              <w:wordWrap/>
              <w:overflowPunct/>
              <w:topLinePunct w:val="0"/>
              <w:autoSpaceDE w:val="0"/>
              <w:autoSpaceDN w:val="0"/>
              <w:bidi w:val="0"/>
              <w:adjustRightInd w:val="0"/>
              <w:snapToGrid w:val="0"/>
              <w:spacing w:before="0" w:after="0" w:line="240" w:lineRule="auto"/>
              <w:ind w:left="100" w:right="0" w:firstLine="0"/>
              <w:jc w:val="left"/>
              <w:textAlignment w:val="baseline"/>
              <w:rPr>
                <w:rFonts w:hint="eastAsia" w:asciiTheme="minorEastAsia" w:hAnsiTheme="minorEastAsia" w:eastAsiaTheme="minorEastAsia" w:cstheme="minorEastAsia"/>
                <w:b w:val="0"/>
                <w:i w:val="0"/>
                <w:smallCaps w:val="0"/>
                <w:strike w:val="0"/>
                <w:color w:val="000000"/>
                <w:sz w:val="24"/>
                <w:szCs w:val="24"/>
                <w:u w:val="none"/>
                <w:shd w:val="clear" w:color="auto" w:fill="auto"/>
                <w:vertAlign w:val="baseline"/>
              </w:rPr>
            </w:pP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Party A fails to be on time every month</w:t>
            </w:r>
          </w:p>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Truthfully send the customer's declaration data to Party B for declaration.</w:t>
            </w:r>
          </w:p>
        </w:tc>
        <w:tc>
          <w:tcPr>
            <w:tcW w:w="5086" w:type="dxa"/>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t>若未按时申报或官方发现虚假申报，那产生的罚款应由甲方承担，乙方有权向甲方追偿并且注销账号。</w:t>
            </w:r>
          </w:p>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In the event of failure to declare on time or if false declaration is discovered by the authorities, any resulting fines shall be borne by Party A. Furthermore, Party B reserves the right to seek recourse from Party A and to deregister the account.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36" w:hRule="atLeast"/>
        </w:trPr>
        <w:tc>
          <w:tcPr>
            <w:tcW w:w="801" w:type="dxa"/>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t>7</w:t>
            </w:r>
          </w:p>
        </w:tc>
        <w:tc>
          <w:tcPr>
            <w:tcW w:w="2287" w:type="dxa"/>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rPr>
            </w:pPr>
            <w:r>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rPr>
              <w:t>担保</w:t>
            </w:r>
            <w:r>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t>量/回收量</w:t>
            </w:r>
            <w:r>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rPr>
              <w:t>额度</w:t>
            </w:r>
          </w:p>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Guaranteed Quantity/Recycling Quantity</w:t>
            </w:r>
          </w:p>
        </w:tc>
        <w:tc>
          <w:tcPr>
            <w:tcW w:w="2704" w:type="dxa"/>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t>客户一个自然年的实际申报量，超出合同内包含的担保量/回收量。</w:t>
            </w:r>
          </w:p>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lang w:val="en-US" w:eastAsia="zh-CN"/>
              </w:rPr>
              <w:t>C</w:t>
            </w: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ustomer's actual declared quantity for a calendar year exceeds the guaranteed/recycling quantity included in the contract.</w:t>
            </w:r>
          </w:p>
        </w:tc>
        <w:tc>
          <w:tcPr>
            <w:tcW w:w="5086" w:type="dxa"/>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t>乙方会在该自然年结束后通知甲方超出约定担保量/回收量的客户名单和相应的数额，甲方要联系客户并支付乙方相应的担保/回收费用。</w:t>
            </w:r>
          </w:p>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Upon the conclusion of the calendar year, Party B shall notify Party A of the list of customers whose volumes have exceeded the agreed Guaranteed/Recycling Quantity, along with the corresponding amounts. Party A shall then contact said customers and pay Party B the respective guarantee/recycling fees.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36" w:hRule="atLeast"/>
        </w:trPr>
        <w:tc>
          <w:tcPr>
            <w:tcW w:w="801" w:type="dxa"/>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t>8</w:t>
            </w:r>
          </w:p>
        </w:tc>
        <w:tc>
          <w:tcPr>
            <w:tcW w:w="2287" w:type="dxa"/>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rPr>
              <w:t>实际</w:t>
            </w:r>
            <w:r>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t>回收指令</w:t>
            </w:r>
          </w:p>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Actual Re</w:t>
            </w:r>
            <w:r>
              <w:rPr>
                <w:rFonts w:hint="eastAsia" w:ascii="Arial" w:hAnsi="Arial" w:eastAsia="宋体" w:cs="Arial"/>
                <w:b w:val="0"/>
                <w:bCs w:val="0"/>
                <w:i w:val="0"/>
                <w:iCs w:val="0"/>
                <w:smallCaps w:val="0"/>
                <w:strike w:val="0"/>
                <w:color w:val="000000"/>
                <w:sz w:val="24"/>
                <w:szCs w:val="24"/>
                <w:highlight w:val="none"/>
                <w:u w:val="none"/>
                <w:shd w:val="clear" w:color="auto" w:fill="auto"/>
                <w:vertAlign w:val="baseline"/>
                <w:rtl w:val="0"/>
                <w:lang w:val="en-US" w:eastAsia="zh-CN"/>
              </w:rPr>
              <w:t>cycling Notice</w:t>
            </w:r>
          </w:p>
        </w:tc>
        <w:tc>
          <w:tcPr>
            <w:tcW w:w="2704" w:type="dxa"/>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eastAsia" w:asciiTheme="minorEastAsia" w:hAnsiTheme="minorEastAsia" w:cstheme="minorEastAsia"/>
                <w:b w:val="0"/>
                <w:i w:val="0"/>
                <w:smallCaps w:val="0"/>
                <w:strike w:val="0"/>
                <w:color w:val="000000"/>
                <w:sz w:val="24"/>
                <w:szCs w:val="24"/>
                <w:u w:val="none"/>
                <w:shd w:val="clear" w:fill="auto"/>
                <w:vertAlign w:val="baseline"/>
                <w:rtl w:val="0"/>
                <w:lang w:val="en-US" w:eastAsia="zh-CN"/>
              </w:rPr>
            </w:pPr>
            <w:r>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t>乙方收到来自官方机构的紧急实际回收指令</w:t>
            </w:r>
            <w:r>
              <w:rPr>
                <w:rFonts w:hint="eastAsia" w:asciiTheme="minorEastAsia" w:hAnsiTheme="minorEastAsia" w:cstheme="minorEastAsia"/>
                <w:b w:val="0"/>
                <w:i w:val="0"/>
                <w:smallCaps w:val="0"/>
                <w:strike w:val="0"/>
                <w:color w:val="000000"/>
                <w:sz w:val="24"/>
                <w:szCs w:val="24"/>
                <w:u w:val="none"/>
                <w:shd w:val="clear" w:fill="auto"/>
                <w:vertAlign w:val="baseline"/>
                <w:rtl w:val="0"/>
                <w:lang w:val="en-US" w:eastAsia="zh-CN"/>
              </w:rPr>
              <w:t>。</w:t>
            </w:r>
          </w:p>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color="auto" w:fill="auto"/>
              <w:kinsoku w:val="0"/>
              <w:wordWrap/>
              <w:overflowPunct/>
              <w:topLinePunct w:val="0"/>
              <w:autoSpaceDE w:val="0"/>
              <w:autoSpaceDN w:val="0"/>
              <w:bidi w:val="0"/>
              <w:adjustRightInd w:val="0"/>
              <w:snapToGrid w:val="0"/>
              <w:spacing w:before="0" w:after="0" w:line="240" w:lineRule="auto"/>
              <w:ind w:left="100" w:right="0" w:firstLine="0"/>
              <w:jc w:val="left"/>
              <w:textAlignment w:val="baseline"/>
              <w:rPr>
                <w:rFonts w:hint="eastAsia" w:asciiTheme="minorEastAsia" w:hAnsiTheme="minorEastAsia" w:eastAsiaTheme="minorEastAsia" w:cstheme="minorEastAsia"/>
                <w:b w:val="0"/>
                <w:i w:val="0"/>
                <w:smallCaps w:val="0"/>
                <w:strike w:val="0"/>
                <w:color w:val="000000"/>
                <w:sz w:val="24"/>
                <w:szCs w:val="24"/>
                <w:u w:val="none"/>
                <w:shd w:val="clear" w:color="auto" w:fill="auto"/>
                <w:vertAlign w:val="baseline"/>
              </w:rPr>
            </w:pP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Party B receives the official</w:t>
            </w:r>
          </w:p>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cstheme="minorEastAsia"/>
                <w:b w:val="0"/>
                <w:i w:val="0"/>
                <w:smallCaps w:val="0"/>
                <w:strike w:val="0"/>
                <w:color w:val="000000"/>
                <w:sz w:val="24"/>
                <w:szCs w:val="24"/>
                <w:u w:val="none"/>
                <w:shd w:val="clear" w:fill="auto"/>
                <w:vertAlign w:val="baseline"/>
                <w:rtl w:val="0"/>
                <w:lang w:val="en-US" w:eastAsia="zh-CN"/>
              </w:rPr>
            </w:pP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Notice of emergency actual recycling.</w:t>
            </w:r>
          </w:p>
        </w:tc>
        <w:tc>
          <w:tcPr>
            <w:tcW w:w="5086" w:type="dxa"/>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rPr>
              <w:t>乙方</w:t>
            </w:r>
            <w:r>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t>有权直接</w:t>
            </w:r>
            <w:r>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rPr>
              <w:t>在</w:t>
            </w:r>
            <w:r>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t>德国择优选择</w:t>
            </w:r>
            <w:r>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rPr>
              <w:t>回收服务商</w:t>
            </w:r>
            <w:r>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t>处理回收事宜</w:t>
            </w:r>
            <w:r>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t>，费用由甲方承担，若甲方拒绝支付费用，乙方有权向甲方追偿并且注销账号。</w:t>
            </w:r>
          </w:p>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color="auto" w:fill="auto"/>
              <w:kinsoku w:val="0"/>
              <w:wordWrap/>
              <w:overflowPunct/>
              <w:topLinePunct w:val="0"/>
              <w:autoSpaceDE w:val="0"/>
              <w:autoSpaceDN w:val="0"/>
              <w:bidi w:val="0"/>
              <w:adjustRightInd w:val="0"/>
              <w:snapToGrid w:val="0"/>
              <w:spacing w:before="0" w:after="0" w:line="240" w:lineRule="auto"/>
              <w:ind w:left="100" w:right="0" w:firstLine="0"/>
              <w:jc w:val="left"/>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Party B shall have the right to directly select a qualified recycling service provider in Germany to handle the recycling matters. The costs incurred shall be borne by Party A. If Party A refuses to pay such costs, Party B shall have the right to seek recourse from Party A and to deregister the account.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36" w:hRule="atLeast"/>
        </w:trPr>
        <w:tc>
          <w:tcPr>
            <w:tcW w:w="801" w:type="dxa"/>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t>9</w:t>
            </w:r>
          </w:p>
        </w:tc>
        <w:tc>
          <w:tcPr>
            <w:tcW w:w="2287" w:type="dxa"/>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rPr>
            </w:pPr>
            <w:r>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rPr>
              <w:t>注销</w:t>
            </w:r>
          </w:p>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Cancel</w:t>
            </w:r>
          </w:p>
        </w:tc>
        <w:tc>
          <w:tcPr>
            <w:tcW w:w="2704" w:type="dxa"/>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t>甲方应根据乙方要求提前告知乙方注销客户的名单。</w:t>
            </w:r>
          </w:p>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Party A shall inform Party B in advance of the list of customers to be deregistered, as required by Party B.</w:t>
            </w:r>
          </w:p>
        </w:tc>
        <w:tc>
          <w:tcPr>
            <w:tcW w:w="5086" w:type="dxa"/>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t>若甲方未在规定期限内向乙方提供需要注销的客户名单，导致客户账号没有及时注销，因此产生的额外官费需要甲方承担。</w:t>
            </w:r>
          </w:p>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If Party A fails to provide Party B with the list of customers to be canceled within the specified period, resulting in the customer account not being canceled in time, the additional official fees arising therefrom shall be borne by Party A and the customer.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73" w:hRule="atLeast"/>
        </w:trPr>
        <w:tc>
          <w:tcPr>
            <w:tcW w:w="801" w:type="dxa"/>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t>10</w:t>
            </w:r>
          </w:p>
        </w:tc>
        <w:tc>
          <w:tcPr>
            <w:tcW w:w="2287" w:type="dxa"/>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rPr>
            </w:pPr>
            <w:r>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rPr>
              <w:t>新增官费</w:t>
            </w:r>
          </w:p>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New official fees</w:t>
            </w:r>
          </w:p>
        </w:tc>
        <w:tc>
          <w:tcPr>
            <w:tcW w:w="2704" w:type="dxa"/>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t>官方机构会不定期调整官方收费</w:t>
            </w:r>
          </w:p>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The official authorities may adjust the official fees periodically.</w:t>
            </w:r>
          </w:p>
        </w:tc>
        <w:tc>
          <w:tcPr>
            <w:tcW w:w="5086" w:type="dxa"/>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t>乙方应及时通知甲方，再由甲方传达给客户并协商缴纳新调整的官费。</w:t>
            </w:r>
          </w:p>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Party B shall notify Party A as soon as possible, and then Party A shall communicate it to the customer and negotiate to pay the newly adjusted official fee.</w:t>
            </w:r>
          </w:p>
        </w:tc>
      </w:tr>
    </w:tbl>
    <w:p>
      <w:pPr>
        <w:rPr>
          <w:rFonts w:hint="eastAsia"/>
          <w:sz w:val="24"/>
          <w:szCs w:val="32"/>
        </w:rPr>
      </w:pPr>
    </w:p>
    <w:sectPr>
      <w:headerReference r:id="rId3" w:type="default"/>
      <w:footerReference r:id="rId4" w:type="default"/>
      <w:pgSz w:w="11906" w:h="16838"/>
      <w:pgMar w:top="720" w:right="624" w:bottom="720" w:left="624" w:header="283" w:footer="425" w:gutter="0"/>
      <w:pgNumType w:fmt="numberInDash"/>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altName w:val="汉仪书宋二KW"/>
    <w:panose1 w:val="00000000000000000000"/>
    <w:charset w:val="00"/>
    <w:family w:val="auto"/>
    <w:pitch w:val="default"/>
    <w:sig w:usb0="00000000" w:usb1="00000000" w:usb2="00000000" w:usb3="00000000" w:csb0="00000000" w:csb1="00000000"/>
  </w:font>
  <w:font w:name="Wingdings">
    <w:altName w:val="Kingsoft Confetti"/>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altName w:val="汉仪中黑KW"/>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altName w:val="Kingsoft Sign"/>
    <w:panose1 w:val="05050102010706020507"/>
    <w:charset w:val="02"/>
    <w:family w:val="roman"/>
    <w:pitch w:val="default"/>
    <w:sig w:usb0="00000000" w:usb1="00000000" w:usb2="00000000" w:usb3="00000000" w:csb0="80000000" w:csb1="00000000"/>
  </w:font>
  <w:font w:name="Calibri">
    <w:altName w:val="Arial"/>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Kingsoft Confetti">
    <w:panose1 w:val="05000100010000000000"/>
    <w:charset w:val="00"/>
    <w:family w:val="auto"/>
    <w:pitch w:val="default"/>
    <w:sig w:usb0="00000000" w:usb1="00000000" w:usb2="00000000" w:usb3="00000000" w:csb0="80000000" w:csb1="00000000"/>
  </w:font>
  <w:font w:name="汉仪中黑KW">
    <w:panose1 w:val="00020600040101010101"/>
    <w:charset w:val="86"/>
    <w:family w:val="auto"/>
    <w:pitch w:val="default"/>
    <w:sig w:usb0="A00002BF" w:usb1="18EF7CFA" w:usb2="00000016" w:usb3="00000000" w:csb0="00040000" w:csb1="00000000"/>
  </w:font>
  <w:font w:name="Kingsoft Sign">
    <w:panose1 w:val="05050102010706020507"/>
    <w:charset w:val="00"/>
    <w:family w:val="auto"/>
    <w:pitch w:val="default"/>
    <w:sig w:usb0="00000000" w:usb1="00000000" w:usb2="00000000" w:usb3="00000000" w:csb0="80000000" w:csb1="00000000"/>
  </w:font>
  <w:font w:name="Arial">
    <w:panose1 w:val="020B0604020202020204"/>
    <w:charset w:val="00"/>
    <w:family w:val="auto"/>
    <w:pitch w:val="default"/>
    <w:sig w:usb0="E0002AFF" w:usb1="C0007843" w:usb2="00000009" w:usb3="00000000" w:csb0="400001FF" w:csb1="FFFF0000"/>
  </w:font>
  <w:font w:name="Arial Unicode MS">
    <w:altName w:val="Arial"/>
    <w:panose1 w:val="00000000000000000000"/>
    <w:charset w:val="00"/>
    <w:family w:val="auto"/>
    <w:pitch w:val="default"/>
    <w:sig w:usb0="00000000" w:usb1="00000000" w:usb2="00000000" w:usb3="00000000" w:csb0="00000000" w:csb1="00000000"/>
  </w:font>
  <w:font w:name="汉仪中等线KW">
    <w:panose1 w:val="01010104010101010101"/>
    <w:charset w:val="86"/>
    <w:family w:val="auto"/>
    <w:pitch w:val="default"/>
    <w:sig w:usb0="800002BF" w:usb1="004F7CFA" w:usb2="00000000" w:usb3="00000000" w:csb0="00040001" w:csb1="00000000"/>
  </w:font>
  <w:font w:name="Noto Sans Symbols2">
    <w:panose1 w:val="020B0502040504020204"/>
    <w:charset w:val="00"/>
    <w:family w:val="auto"/>
    <w:pitch w:val="default"/>
    <w:sig w:usb0="80000003" w:usb1="0200E3E4" w:usb2="00040020" w:usb3="0580A048"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tabs>
        <w:tab w:val="center" w:pos="4153"/>
        <w:tab w:val="right" w:pos="8306"/>
      </w:tabs>
      <w:spacing w:before="0" w:after="0" w:line="240" w:lineRule="auto"/>
      <w:ind w:left="0" w:right="0" w:firstLine="0"/>
      <w:jc w:val="left"/>
    </w:pPr>
    <w:r>
      <w:rPr>
        <w:sz w:val="18"/>
      </w:rPr>
      <mc:AlternateContent>
        <mc:Choice Requires="wps">
          <w:drawing>
            <wp:anchor distT="0" distB="0" distL="114300" distR="114300" simplePos="0" relativeHeight="251660288" behindDoc="0" locked="0" layoutInCell="1" allowOverlap="1">
              <wp:simplePos x="0" y="0"/>
              <wp:positionH relativeFrom="margin">
                <wp:align>right</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60288;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">
              <v:fill on="f" focussize="0,0"/>
              <v:stroke on="f" weight="0.5pt"/>
              <v:imagedata o:title=""/>
              <o:lock v:ext="edit" aspectratio="f"/>
              <v:textbox inset="0mm,0mm,0mm,0mm" style="mso-fit-shape-to-text:t;">
                <w:txbxContent>
                  <w:p>
                    <w:pPr>
                      <w:pStyle w:val="2"/>
                    </w:pPr>
                    <w:r>
                      <w:fldChar w:fldCharType="begin"/>
                    </w:r>
                    <w:r>
                      <w:instrText xml:space="preserve"> PAGE  \* MERGEFORMAT </w:instrText>
                    </w:r>
                    <w:r>
                      <w:fldChar w:fldCharType="separate"/>
                    </w:r>
                    <w:r>
                      <w:t>1</w:t>
                    </w:r>
                    <w:r>
                      <w:fldChar w:fldCharType="end"/>
                    </w:r>
                  </w:p>
                </w:txbxContent>
              </v:textbox>
            </v:shape>
          </w:pict>
        </mc:Fallback>
      </mc:AlternateContent>
    </w:r>
    <w:r>
      <w:rPr>
        <w:rFonts w:ascii="Arial Unicode MS" w:hAnsi="Arial Unicode MS" w:eastAsia="Arial Unicode MS" w:cs="Arial Unicode MS"/>
        <w:b w:val="0"/>
        <w:i w:val="0"/>
        <w:smallCaps w:val="0"/>
        <w:strike w:val="0"/>
        <w:color w:val="000000"/>
        <w:sz w:val="18"/>
        <w:szCs w:val="18"/>
        <w:u w:val="none"/>
        <w:shd w:val="clear" w:fill="auto"/>
        <w:vertAlign w:val="baseline"/>
        <w:rtl w:val="0"/>
      </w:rPr>
      <w:t xml:space="preserve">                        以上一切内容均属机密，不得揭露、复制、散布本</w:t>
    </w:r>
    <w:r>
      <w:rPr>
        <w:rFonts w:hint="eastAsia" w:ascii="Arial Unicode MS" w:hAnsi="Arial Unicode MS" w:eastAsia="宋体" w:cs="Arial Unicode MS"/>
        <w:b w:val="0"/>
        <w:i w:val="0"/>
        <w:smallCaps w:val="0"/>
        <w:strike w:val="0"/>
        <w:color w:val="000000"/>
        <w:sz w:val="18"/>
        <w:szCs w:val="18"/>
        <w:u w:val="none"/>
        <w:shd w:val="clear" w:fill="auto"/>
        <w:vertAlign w:val="baseline"/>
        <w:rtl w:val="0"/>
        <w:lang w:val="en-US" w:eastAsia="zh-CN"/>
      </w:rPr>
      <w:t>合同</w:t>
    </w:r>
    <w:r>
      <w:rPr>
        <w:rFonts w:ascii="Arial Unicode MS" w:hAnsi="Arial Unicode MS" w:eastAsia="Arial Unicode MS" w:cs="Arial Unicode MS"/>
        <w:b w:val="0"/>
        <w:i w:val="0"/>
        <w:smallCaps w:val="0"/>
        <w:strike w:val="0"/>
        <w:color w:val="000000"/>
        <w:sz w:val="18"/>
        <w:szCs w:val="18"/>
        <w:u w:val="none"/>
        <w:shd w:val="clear" w:fill="auto"/>
        <w:vertAlign w:val="baseline"/>
        <w:rtl w:val="0"/>
      </w:rPr>
      <w:t>内容。</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drawing>
        <wp:inline distT="0" distB="0" distL="114300" distR="114300">
          <wp:extent cx="1664335" cy="495935"/>
          <wp:effectExtent l="0" t="0" r="12065" b="0"/>
          <wp:docPr id="5" name="图片 5" descr="e681bba019cfe11ba4b2d3f09bf186c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e681bba019cfe11ba4b2d3f09bf186c2"/>
                  <pic:cNvPicPr>
                    <a:picLocks noChangeAspect="1"/>
                  </pic:cNvPicPr>
                </pic:nvPicPr>
                <pic:blipFill>
                  <a:blip r:embed="rId1"/>
                  <a:stretch>
                    <a:fillRect/>
                  </a:stretch>
                </pic:blipFill>
                <pic:spPr>
                  <a:xfrm>
                    <a:off x="0" y="0"/>
                    <a:ext cx="1664335" cy="495935"/>
                  </a:xfrm>
                  <a:prstGeom prst="rect">
                    <a:avLst/>
                  </a:prstGeom>
                </pic:spPr>
              </pic:pic>
            </a:graphicData>
          </a:graphic>
        </wp:inline>
      </w:drawing>
    </w:r>
    <w:r>
      <w:rPr>
        <w:rFonts w:hint="eastAsia"/>
        <w:lang w:val="en-US" w:eastAsia="zh-CN"/>
      </w:rPr>
      <w:t xml:space="preserve">                 </w:t>
    </w:r>
    <w:r>
      <w:rPr>
        <w:rFonts w:ascii="宋体" w:hAnsi="宋体" w:eastAsia="宋体" w:cs="宋体"/>
        <w:b w:val="0"/>
        <w:i w:val="0"/>
        <w:smallCaps w:val="0"/>
        <w:strike w:val="0"/>
        <w:color w:val="000000"/>
        <w:sz w:val="20"/>
        <w:szCs w:val="20"/>
        <w:u w:val="none"/>
        <w:shd w:val="clear" w:fill="auto"/>
        <w:vertAlign w:val="baseline"/>
        <w:rtl w:val="0"/>
      </w:rPr>
      <w:t>合同编码：</w:t>
    </w:r>
    <w:r>
      <w:rPr>
        <w:rFonts w:hint="eastAsia" w:ascii="宋体" w:hAnsi="宋体" w:eastAsia="宋体" w:cs="宋体"/>
        <w:b w:val="0"/>
        <w:i w:val="0"/>
        <w:smallCaps w:val="0"/>
        <w:strike w:val="0"/>
        <w:color w:val="000000"/>
        <w:sz w:val="20"/>
        <w:szCs w:val="20"/>
        <w:u w:val="none"/>
        <w:shd w:val="clear" w:fill="auto"/>
        <w:vertAlign w:val="baseline"/>
        <w:rtl w:val="0"/>
        <w:lang w:val="en-US" w:eastAsia="zh-CN"/>
      </w:rPr>
      <w:t>ECOPV</w:t>
    </w:r>
    <w:r>
      <w:rPr>
        <w:rFonts w:ascii="Times New Roman" w:hAnsi="Times New Roman" w:eastAsia="Times New Roman" w:cs="Times New Roman"/>
        <w:b w:val="0"/>
        <w:i w:val="0"/>
        <w:smallCaps w:val="0"/>
        <w:strike w:val="0"/>
        <w:color w:val="000000"/>
        <w:sz w:val="20"/>
        <w:szCs w:val="20"/>
        <w:u w:val="none"/>
        <w:shd w:val="clear" w:fill="auto"/>
        <w:vertAlign w:val="baseline"/>
        <w:rtl w:val="0"/>
      </w:rPr>
      <w:t>202</w:t>
    </w:r>
    <w:r>
      <w:rPr>
        <w:rFonts w:hint="eastAsia" w:ascii="Times New Roman" w:hAnsi="Times New Roman" w:eastAsia="宋体" w:cs="Times New Roman"/>
        <w:b w:val="0"/>
        <w:i w:val="0"/>
        <w:smallCaps w:val="0"/>
        <w:strike w:val="0"/>
        <w:color w:val="000000"/>
        <w:sz w:val="20"/>
        <w:szCs w:val="20"/>
        <w:u w:val="none"/>
        <w:shd w:val="clear" w:fill="auto"/>
        <w:vertAlign w:val="baseline"/>
        <w:rtl w:val="0"/>
        <w:lang w:val="en-US" w:eastAsia="zh-CN"/>
      </w:rPr>
      <w:t>5111801</w:t>
    </w:r>
    <w:r>
      <mc:AlternateContent>
        <mc:Choice Requires="wps">
          <w:drawing>
            <wp:anchor distT="0" distB="0" distL="114300" distR="114300" simplePos="0" relativeHeight="251659264" behindDoc="0" locked="0" layoutInCell="0" allowOverlap="1">
              <wp:simplePos x="0" y="0"/>
              <wp:positionH relativeFrom="page">
                <wp:posOffset>587375</wp:posOffset>
              </wp:positionH>
              <wp:positionV relativeFrom="page">
                <wp:posOffset>713740</wp:posOffset>
              </wp:positionV>
              <wp:extent cx="6400800" cy="9525"/>
              <wp:effectExtent l="0" t="0" r="0" b="0"/>
              <wp:wrapNone/>
              <wp:docPr id="1" name="任意多边形 1"/>
              <wp:cNvGraphicFramePr/>
              <a:graphic xmlns:a="http://schemas.openxmlformats.org/drawingml/2006/main">
                <a:graphicData uri="http://schemas.microsoft.com/office/word/2010/wordprocessingShape">
                  <wps:wsp>
                    <wps:cNvSpPr/>
                    <wps:spPr>
                      <a:xfrm>
                        <a:off x="0" y="0"/>
                        <a:ext cx="6400800" cy="9525"/>
                      </a:xfrm>
                      <a:custGeom>
                        <a:avLst/>
                        <a:gdLst/>
                        <a:ahLst/>
                        <a:cxnLst/>
                        <a:pathLst>
                          <a:path w="10080" h="15">
                            <a:moveTo>
                              <a:pt x="0" y="0"/>
                            </a:moveTo>
                            <a:lnTo>
                              <a:pt x="10080" y="0"/>
                            </a:lnTo>
                            <a:lnTo>
                              <a:pt x="10080" y="14"/>
                            </a:lnTo>
                            <a:lnTo>
                              <a:pt x="0" y="14"/>
                            </a:lnTo>
                            <a:lnTo>
                              <a:pt x="0" y="0"/>
                            </a:lnTo>
                            <a:close/>
                          </a:path>
                        </a:pathLst>
                      </a:custGeom>
                      <a:solidFill>
                        <a:srgbClr val="000000"/>
                      </a:solidFill>
                      <a:ln>
                        <a:noFill/>
                      </a:ln>
                    </wps:spPr>
                    <wps:bodyPr upright="1"/>
                  </wps:wsp>
                </a:graphicData>
              </a:graphic>
            </wp:anchor>
          </w:drawing>
        </mc:Choice>
        <mc:Fallback>
          <w:pict>
            <v:shape id="_x0000_s1026" o:spid="_x0000_s1026" o:spt="100" style="position:absolute;left:0pt;margin-left:46.25pt;margin-top:56.2pt;height:0.75pt;width:504pt;mso-position-horizontal-relative:page;mso-position-vertical-relative:page;z-index:251659264;mso-width-relative:page;mso-height-relative:page;" fillcolor="#000000" filled="t" stroked="f" coordsize="10080,15" o:allowincell="f" o:gfxdata="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WAAAAZHJzL1BLAQIUABQAAAAIAIdO4kD7YZWD2gAAAAsBAAAPAAAAAAAAAAEAIAAA&#10;ADgAAABkcnMvZG93bnJldi54bWxQSwECFAAUAAAACACHTuJAecv+UvQBAAAwBAAADgAAAAAAAAAB&#10;ACAAAAA/AQAAZHJzL2Uyb0RvYy54bWxQSwUGAAAAAAYABgBZAQAApQUAAAAA&#10;" path="m0,0l10080,0,10080,14,0,14,0,0xe">
              <v:fill on="t" focussize="0,0"/>
              <v:stroke on="f"/>
              <v:imagedata o:title=""/>
              <o:lock v:ext="edit" aspectratio="f"/>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1BE0794"/>
    <w:multiLevelType w:val="singleLevel"/>
    <w:tmpl w:val="91BE0794"/>
    <w:lvl w:ilvl="0" w:tentative="0">
      <w:start w:val="1"/>
      <w:numFmt w:val="decimal"/>
      <w:suff w:val="space"/>
      <w:lvlText w:val="%1."/>
      <w:lvlJc w:val="left"/>
    </w:lvl>
  </w:abstractNum>
  <w:abstractNum w:abstractNumId="1">
    <w:nsid w:val="B3CDB138"/>
    <w:multiLevelType w:val="singleLevel"/>
    <w:tmpl w:val="B3CDB138"/>
    <w:lvl w:ilvl="0" w:tentative="0">
      <w:start w:val="1"/>
      <w:numFmt w:val="decimal"/>
      <w:suff w:val="space"/>
      <w:lvlText w:val="%1."/>
      <w:lvlJc w:val="left"/>
    </w:lvl>
  </w:abstractNum>
  <w:abstractNum w:abstractNumId="2">
    <w:nsid w:val="B4555F57"/>
    <w:multiLevelType w:val="singleLevel"/>
    <w:tmpl w:val="B4555F57"/>
    <w:lvl w:ilvl="0" w:tentative="0">
      <w:start w:val="1"/>
      <w:numFmt w:val="decimal"/>
      <w:suff w:val="space"/>
      <w:lvlText w:val="%1."/>
      <w:lvlJc w:val="left"/>
    </w:lvl>
  </w:abstractNum>
  <w:abstractNum w:abstractNumId="3">
    <w:nsid w:val="D2C9713C"/>
    <w:multiLevelType w:val="singleLevel"/>
    <w:tmpl w:val="D2C9713C"/>
    <w:lvl w:ilvl="0" w:tentative="0">
      <w:start w:val="1"/>
      <w:numFmt w:val="decimal"/>
      <w:suff w:val="space"/>
      <w:lvlText w:val="%1."/>
      <w:lvlJc w:val="left"/>
    </w:lvl>
  </w:abstractNum>
  <w:abstractNum w:abstractNumId="4">
    <w:nsid w:val="FCA51C7F"/>
    <w:multiLevelType w:val="singleLevel"/>
    <w:tmpl w:val="FCA51C7F"/>
    <w:lvl w:ilvl="0" w:tentative="0">
      <w:start w:val="1"/>
      <w:numFmt w:val="decimal"/>
      <w:suff w:val="space"/>
      <w:lvlText w:val="%1."/>
      <w:lvlJc w:val="left"/>
    </w:lvl>
  </w:abstractNum>
  <w:abstractNum w:abstractNumId="5">
    <w:nsid w:val="0365229B"/>
    <w:multiLevelType w:val="singleLevel"/>
    <w:tmpl w:val="0365229B"/>
    <w:lvl w:ilvl="0" w:tentative="0">
      <w:start w:val="1"/>
      <w:numFmt w:val="decimal"/>
      <w:suff w:val="space"/>
      <w:lvlText w:val="%1."/>
      <w:lvlJc w:val="left"/>
    </w:lvl>
  </w:abstractNum>
  <w:abstractNum w:abstractNumId="6">
    <w:nsid w:val="2A145FBB"/>
    <w:multiLevelType w:val="singleLevel"/>
    <w:tmpl w:val="2A145FBB"/>
    <w:lvl w:ilvl="0" w:tentative="0">
      <w:start w:val="1"/>
      <w:numFmt w:val="decimal"/>
      <w:suff w:val="space"/>
      <w:lvlText w:val="%1."/>
      <w:lvlJc w:val="left"/>
    </w:lvl>
  </w:abstractNum>
  <w:abstractNum w:abstractNumId="7">
    <w:nsid w:val="318E8323"/>
    <w:multiLevelType w:val="singleLevel"/>
    <w:tmpl w:val="318E8323"/>
    <w:lvl w:ilvl="0" w:tentative="0">
      <w:start w:val="1"/>
      <w:numFmt w:val="decimal"/>
      <w:suff w:val="space"/>
      <w:lvlText w:val="%1."/>
      <w:lvlJc w:val="left"/>
    </w:lvl>
  </w:abstractNum>
  <w:abstractNum w:abstractNumId="8">
    <w:nsid w:val="6DCC1E8C"/>
    <w:multiLevelType w:val="singleLevel"/>
    <w:tmpl w:val="6DCC1E8C"/>
    <w:lvl w:ilvl="0" w:tentative="0">
      <w:start w:val="1"/>
      <w:numFmt w:val="decimal"/>
      <w:suff w:val="space"/>
      <w:lvlText w:val="%1."/>
      <w:lvlJc w:val="left"/>
    </w:lvl>
  </w:abstractNum>
  <w:num w:numId="1">
    <w:abstractNumId w:val="0"/>
  </w:num>
  <w:num w:numId="2">
    <w:abstractNumId w:val="2"/>
  </w:num>
  <w:num w:numId="3">
    <w:abstractNumId w:val="4"/>
  </w:num>
  <w:num w:numId="4">
    <w:abstractNumId w:val="1"/>
  </w:num>
  <w:num w:numId="5">
    <w:abstractNumId w:val="7"/>
  </w:num>
  <w:num w:numId="6">
    <w:abstractNumId w:val="6"/>
  </w:num>
  <w:num w:numId="7">
    <w:abstractNumId w:val="5"/>
  </w:num>
  <w:num w:numId="8">
    <w:abstractNumId w:val="8"/>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5AD07020"/>
    <w:rsid w:val="637172AD"/>
    <w:rsid w:val="767D3AC4"/>
    <w:rsid w:val="7FDFDD42"/>
    <w:rsid w:val="FCBF6950"/>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semiHidden/>
    <w:uiPriority w:val="0"/>
  </w:style>
  <w:style w:type="table" w:default="1" w:styleId="4">
    <w:name w:val="Normal Table"/>
    <w:semiHidden/>
    <w:uiPriority w:val="0"/>
    <w:tblPr>
      <w:tblLayout w:type="fixed"/>
      <w:tblCellMar>
        <w:top w:w="0" w:type="dxa"/>
        <w:left w:w="108" w:type="dxa"/>
        <w:bottom w:w="0" w:type="dxa"/>
        <w:right w:w="108" w:type="dxa"/>
      </w:tblCellMar>
    </w:tblPr>
  </w:style>
  <w:style w:type="paragraph" w:styleId="2">
    <w:name w:val="footer"/>
    <w:basedOn w:val="1"/>
    <w:uiPriority w:val="0"/>
    <w:pPr>
      <w:tabs>
        <w:tab w:val="center" w:pos="4153"/>
        <w:tab w:val="right" w:pos="8306"/>
      </w:tabs>
      <w:snapToGrid w:val="0"/>
      <w:jc w:val="left"/>
    </w:pPr>
    <w:rPr>
      <w:sz w:val="18"/>
    </w:rPr>
  </w:style>
  <w:style w:type="paragraph" w:styleId="3">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styleId="5">
    <w:name w:val="Table Grid"/>
    <w:basedOn w:val="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character" w:styleId="7">
    <w:name w:val="Strong"/>
    <w:basedOn w:val="6"/>
    <w:qFormat/>
    <w:uiPriority w:val="0"/>
    <w:rPr>
      <w:b/>
    </w:rPr>
  </w:style>
  <w:style w:type="table" w:customStyle="1" w:styleId="8">
    <w:name w:val="_Style 20"/>
    <w:basedOn w:val="9"/>
    <w:qFormat/>
    <w:uiPriority w:val="0"/>
    <w:tblPr>
      <w:tblLayout w:type="fixed"/>
      <w:tblCellMar>
        <w:top w:w="0" w:type="dxa"/>
        <w:left w:w="0" w:type="dxa"/>
        <w:bottom w:w="0" w:type="dxa"/>
        <w:right w:w="0" w:type="dxa"/>
      </w:tblCellMar>
    </w:tblPr>
  </w:style>
  <w:style w:type="table" w:customStyle="1" w:styleId="9">
    <w:name w:val="Table Normal"/>
    <w:semiHidden/>
    <w:unhideWhenUsed/>
    <w:qFormat/>
    <w:uiPriority w:val="0"/>
    <w:tblPr>
      <w:tblLayout w:type="fixed"/>
      <w:tblCellMar>
        <w:top w:w="0" w:type="dxa"/>
        <w:left w:w="0" w:type="dxa"/>
        <w:bottom w:w="0" w:type="dxa"/>
        <w:right w:w="0" w:type="dxa"/>
      </w:tblCellMar>
    </w:tblPr>
  </w:style>
  <w:style w:type="table" w:customStyle="1" w:styleId="10">
    <w:name w:val="_Style 21"/>
    <w:basedOn w:val="11"/>
    <w:qFormat/>
    <w:uiPriority w:val="0"/>
    <w:tblPr>
      <w:tblLayout w:type="fixed"/>
      <w:tblCellMar>
        <w:top w:w="0" w:type="dxa"/>
        <w:left w:w="0" w:type="dxa"/>
        <w:bottom w:w="0" w:type="dxa"/>
        <w:right w:w="0" w:type="dxa"/>
      </w:tblCellMar>
    </w:tblPr>
  </w:style>
  <w:style w:type="table" w:customStyle="1" w:styleId="11">
    <w:name w:val="Table Normal_0"/>
    <w:semiHidden/>
    <w:unhideWhenUsed/>
    <w:qFormat/>
    <w:uiPriority w:val="0"/>
    <w:tblPr>
      <w:tblLayout w:type="fixed"/>
      <w:tblCellMar>
        <w:top w:w="0" w:type="dxa"/>
        <w:left w:w="0" w:type="dxa"/>
        <w:bottom w:w="0" w:type="dxa"/>
        <w:right w:w="0" w:type="dxa"/>
      </w:tblCellMar>
    </w:tblPr>
  </w:style>
  <w:style w:type="character" w:customStyle="1" w:styleId="EPRUserInput">
    <w:name w:val="EPRUserInput"/>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1</Pages>
  <Words>0</Words>
  <Characters>0</Characters>
  <Lines>1</Lines>
  <Paragraphs>1</Paragraphs>
  <TotalTime>3</TotalTime>
  <ScaleCrop>false</ScaleCrop>
  <LinksUpToDate>false</LinksUpToDate>
  <CharactersWithSpaces>0</CharactersWithSpaces>
  <Application>WWO_base_provider_20211025155225-48f58d7621</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2025-11-18T17:26:00Z</dcterms:created>
  <dc:creator>94226</dc:creator>
  <cp:lastModifiedBy>ECOPV01</cp:lastModifiedBy>
  <dcterms:modified xsi:type="dcterms:W3CDTF">2025-12-04T10:31:22Z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2052-0.0.0.0</vt:lpwstr>
  </property>
  <property fmtid="{D5CDD505-2E9C-101B-9397-08002B2CF9AE}" pid="3" name="KSOTemplateDocerSaveRecord">
    <vt:lpwstr>eyJoZGlkIjoiOTc3M2Y5NzIzMDFlZjAyY2Q4Njk5ODkyYjFjNzBiNTQiLCJ1c2VySWQiOiIxNjEzMjY4ODM3In0=</vt:lpwstr>
  </property>
  <property fmtid="{D5CDD505-2E9C-101B-9397-08002B2CF9AE}" pid="4" name="ICV">
    <vt:lpwstr>8697D8D885244B5B9C4F0A95D5DE69ED_12</vt:lpwstr>
  </property>
</Properties>
</file>