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Registration Service Entrustment Contract Supplementary Agreement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注册服务委托合同补充协议</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(Entrusting Party):</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甲方（委托方）：</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地址:</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联系人：</w:t>
      </w:r>
      <w:r>
        <w:rPr>
          <w:rStyle w:val="EPRUserInput"/>
          <w:rFonts w:hint="eastAsia"/>
          <w:color w:val="000000"/>
          <w:sz w:val="24"/>
          <w:szCs w:val="32"/>
          <w:lang w:val="en-US" w:eastAsia="zh-CN"/>
        </w:rPr>
        <w:t xml:space="preserve">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电话：</w:t>
      </w:r>
      <w:r>
        <w:rPr>
          <w:rStyle w:val="EPRUserInput"/>
          <w:rFonts w:hint="eastAsia" w:asciiTheme="minorHAnsi" w:hAnsiTheme="minorHAnsi" w:eastAsiaTheme="minorEastAsia" w:cstheme="minorBidi"/>
          <w:snapToGrid/>
          <w:color w:val="000000"/>
          <w:kern w:val="2"/>
          <w:sz w:val="24"/>
          <w:szCs w:val="32"/>
          <w:rtl w:val="0"/>
          <w:lang w:eastAsia="zh-CN"/>
        </w:rPr>
        <w:t xml:space="preserve">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邮箱:</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(Agent Party): Ecopv</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乙方（代理方）： Ecopv</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地址：</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 Lin Huang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联系人：</w:t>
      </w:r>
      <w:r>
        <w:rPr>
          <w:rFonts w:hint="eastAsia"/>
          <w:sz w:val="24"/>
          <w:szCs w:val="32"/>
          <w:lang w:val="en-US" w:eastAsia="zh-CN"/>
        </w:rPr>
        <w:t>黄麟</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电话：</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 info@ecopv-eu.com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邮箱：info@ecopv-eu.com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EPR Registration Service Entrustment Items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一、 EPR 注册服务委托项目</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this supplementary agreement.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（一）甲方委托乙方作为甲方客户在指定的国家中有关生产者责任延伸制度（英文全称：Extended Producer's Responsibility）合规事务（包含 WEEE（电子电器法）、电池法、包装法、一次性塑料法等业务，以下简称" EPR"）的主要联系人，负责甲方客户在本合同补充协议中所列出的业务咨询工作，注册办理和申报事宜。乙方收取服务费，提供相关国家的合规咨询，审核文件资料，协助递交注册材料，数量申报，以及甲方客户在相应国家的 EPR 方面的沟通。如果因为当地机构原因造成甲方客户的损失，乙方会协助沟通，但是不承担连带责任。</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(II) Service Price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（二）服务价格</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The package prices for EPR in various countries and the prices for adding new brands and categories are detailed in the attached quotation list.</w:t>
      </w:r>
    </w:p>
    <w:p>
      <w:pPr>
        <w:widowControl w:val="0"/>
        <w:numPr>
          <w:ilvl w:val="0"/>
          <w:numId w:val="1"/>
        </w:numPr>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各国家的 EPR 套餐价格与新增品牌和类别的价格详见附件报价单。</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本合同项下服务及注册的费用，依据德国立法机构发布的2026年官方收费条例确定。若前述收费条例发生修订或产生新增费用（包括但不限于德国电池法加入OfH费用），乙方有权相应调整价格，最终金额以届时有效的官方规定为准。甲方对此价格调整机制予以确认和接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and Order Cancellation: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注销和撤单：</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 When Party A's customer requests deregistration or order cancellation, corresponding fees will be incurred. Details are shown in the table below:</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（1）当甲方客户要求注销或撤单，会产生相应的费用，详情见下方表格：</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tbl>
      <w:tblPr>
        <w:tblStyle w:val="27"/>
        <w:tblW w:w="11188" w:type="dxa"/>
        <w:jc w:val="center"/>
        <w:tblInd w:w="0" w:type="dxa"/>
        <w:tblLayout w:type="fixed"/>
        <w:tblCellMar>
          <w:top w:w="0" w:type="dxa"/>
          <w:left w:w="115" w:type="dxa"/>
          <w:bottom w:w="0" w:type="dxa"/>
          <w:right w:w="115" w:type="dxa"/>
        </w:tblCellMar>
      </w:tblPr>
      <w:tblGrid>
        <w:gridCol w:w="2682"/>
        <w:gridCol w:w="3487"/>
        <w:gridCol w:w="5019"/>
      </w:tblGrid>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注销</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Deregistration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退费政策</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在官方下证后要求注销的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after official certificate issuance</w:t>
            </w:r>
          </w:p>
        </w:tc>
        <w:tc>
          <w:tcPr>
            <w:tcW w:w="3487" w:type="dxa"/>
            <w:tcBorders>
              <w:top w:val="single" w:color="000000" w:sz="4" w:space="0"/>
              <w:left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合作自然年无论是否到期</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Regardless of whether the cooperation calendar year has expired</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服务费不退，并根据注销要求额外收取注销费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Service fee is non-refundable, and a deregistration fee will be additionally charged based on the request</w:t>
            </w:r>
            <w:r>
              <w:rPr>
                <w:rFonts w:hint="default"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w:t>
            </w:r>
          </w:p>
        </w:tc>
      </w:tr>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撤单</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Order Cancellation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退费政策</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在官方下证</w:t>
            </w:r>
            <w:r>
              <w:rPr>
                <w:rFonts w:hint="default" w:asciiTheme="minorEastAsia" w:hAnsiTheme="minorEastAsia" w:eastAsiaTheme="minorEastAsia" w:cstheme="minorEastAsia"/>
                <w:color w:val="auto"/>
                <w:spacing w:val="-3"/>
                <w:sz w:val="21"/>
                <w:szCs w:val="21"/>
                <w:highlight w:val="none"/>
                <w:lang w:eastAsia="zh-CN"/>
                <w:woUserID w:val="1"/>
              </w:rPr>
              <w:t>前</w:t>
            </w:r>
            <w:r>
              <w:rPr>
                <w:rFonts w:hint="eastAsia" w:asciiTheme="minorEastAsia" w:hAnsiTheme="minorEastAsia" w:eastAsiaTheme="minorEastAsia" w:cstheme="minorEastAsia"/>
                <w:color w:val="auto"/>
                <w:spacing w:val="-3"/>
                <w:sz w:val="21"/>
                <w:szCs w:val="21"/>
                <w:highlight w:val="none"/>
                <w:lang w:val="en-US" w:eastAsia="zh-CN"/>
              </w:rPr>
              <w:t>要求撤单的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before official certificate issuance</w:t>
            </w: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lang w:val="en-US" w:eastAsia="zh-CN"/>
              </w:rPr>
              <w:t>乙方</w:t>
            </w:r>
            <w:r>
              <w:rPr>
                <w:rFonts w:hint="eastAsia" w:asciiTheme="minorEastAsia" w:hAnsiTheme="minorEastAsia" w:eastAsiaTheme="minorEastAsia" w:cstheme="minorEastAsia"/>
                <w:color w:val="auto"/>
                <w:spacing w:val="-3"/>
                <w:sz w:val="21"/>
                <w:szCs w:val="21"/>
                <w:highlight w:val="none"/>
                <w:rtl w:val="0"/>
              </w:rPr>
              <w:t>已经递交</w:t>
            </w:r>
            <w:r>
              <w:rPr>
                <w:rFonts w:hint="eastAsia" w:asciiTheme="minorEastAsia" w:hAnsiTheme="minorEastAsia" w:eastAsiaTheme="minorEastAsia" w:cstheme="minorEastAsia"/>
                <w:color w:val="auto"/>
                <w:spacing w:val="-3"/>
                <w:sz w:val="21"/>
                <w:szCs w:val="21"/>
                <w:highlight w:val="none"/>
                <w:rtl w:val="0"/>
                <w:lang w:eastAsia="zh-CN"/>
              </w:rPr>
              <w:t>了</w:t>
            </w:r>
            <w:r>
              <w:rPr>
                <w:rFonts w:hint="eastAsia" w:asciiTheme="minorEastAsia" w:hAnsiTheme="minorEastAsia" w:eastAsiaTheme="minorEastAsia" w:cstheme="minorEastAsia"/>
                <w:color w:val="auto"/>
                <w:spacing w:val="-3"/>
                <w:sz w:val="21"/>
                <w:szCs w:val="21"/>
                <w:highlight w:val="none"/>
                <w:rtl w:val="0"/>
                <w:lang w:val="en-US" w:eastAsia="zh-CN"/>
              </w:rPr>
              <w:t>注册文件的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Party B has already submitted the registration documents | </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rPr>
            </w:pPr>
            <w:r>
              <w:rPr>
                <w:rFonts w:hint="eastAsia" w:asciiTheme="minorEastAsia" w:hAnsiTheme="minorEastAsia" w:eastAsiaTheme="minorEastAsia" w:cstheme="minorEastAsia"/>
                <w:color w:val="auto"/>
                <w:spacing w:val="-3"/>
                <w:sz w:val="21"/>
                <w:szCs w:val="21"/>
                <w:highlight w:val="none"/>
                <w:rtl w:val="0"/>
              </w:rPr>
              <w:t>退还</w:t>
            </w:r>
            <w:r>
              <w:rPr>
                <w:rFonts w:hint="eastAsia" w:asciiTheme="minorEastAsia" w:hAnsiTheme="minorEastAsia" w:eastAsiaTheme="minorEastAsia" w:cstheme="minorEastAsia"/>
                <w:color w:val="auto"/>
                <w:spacing w:val="-3"/>
                <w:sz w:val="21"/>
                <w:szCs w:val="21"/>
                <w:highlight w:val="none"/>
                <w:rtl w:val="0"/>
                <w:lang w:val="en-US" w:eastAsia="zh-CN"/>
              </w:rPr>
              <w:t>已收</w:t>
            </w:r>
            <w:r>
              <w:rPr>
                <w:rFonts w:hint="eastAsia" w:asciiTheme="minorEastAsia" w:hAnsiTheme="minorEastAsia" w:eastAsiaTheme="minorEastAsia" w:cstheme="minorEastAsia"/>
                <w:color w:val="auto"/>
                <w:spacing w:val="-3"/>
                <w:sz w:val="21"/>
                <w:szCs w:val="21"/>
                <w:highlight w:val="none"/>
                <w:rtl w:val="0"/>
              </w:rPr>
              <w:t>服务费的30%</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3"/>
                <w:sz w:val="21"/>
                <w:szCs w:val="21"/>
                <w:highlight w:val="none"/>
                <w:rtl w:val="0"/>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30% of the received service fee will be refunded</w:t>
            </w:r>
          </w:p>
        </w:tc>
      </w:tr>
      <w:tr>
        <w:tblPrEx>
          <w:tblLayout w:type="fixed"/>
          <w:tblCellMar>
            <w:top w:w="0" w:type="dxa"/>
            <w:left w:w="115" w:type="dxa"/>
            <w:bottom w:w="0" w:type="dxa"/>
            <w:right w:w="115" w:type="dxa"/>
          </w:tblCellMar>
        </w:tblPrEx>
        <w:trPr>
          <w:trHeight w:val="0" w:hRule="atLeast"/>
          <w:jc w:val="center"/>
        </w:trPr>
        <w:tc>
          <w:tcPr>
            <w:tcW w:w="2682"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Pr>
            </w:pP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lang w:val="en-US" w:eastAsia="zh-CN"/>
              </w:rPr>
              <w:t>乙方尚未递交注册文件的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Party B has not yet submitted the registration documents</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rPr>
              <w:t>退还</w:t>
            </w:r>
            <w:r>
              <w:rPr>
                <w:rFonts w:hint="eastAsia" w:asciiTheme="minorEastAsia" w:hAnsiTheme="minorEastAsia" w:eastAsiaTheme="minorEastAsia" w:cstheme="minorEastAsia"/>
                <w:color w:val="auto"/>
                <w:spacing w:val="-3"/>
                <w:sz w:val="21"/>
                <w:szCs w:val="21"/>
                <w:highlight w:val="none"/>
                <w:rtl w:val="0"/>
                <w:lang w:val="en-US" w:eastAsia="zh-CN"/>
              </w:rPr>
              <w:t>已收</w:t>
            </w:r>
            <w:r>
              <w:rPr>
                <w:rFonts w:hint="eastAsia" w:asciiTheme="minorEastAsia" w:hAnsiTheme="minorEastAsia" w:eastAsiaTheme="minorEastAsia" w:cstheme="minorEastAsia"/>
                <w:color w:val="auto"/>
                <w:spacing w:val="-3"/>
                <w:sz w:val="21"/>
                <w:szCs w:val="21"/>
                <w:highlight w:val="none"/>
                <w:rtl w:val="0"/>
              </w:rPr>
              <w:t>服务费的</w:t>
            </w:r>
            <w:r>
              <w:rPr>
                <w:rFonts w:hint="eastAsia" w:asciiTheme="minorEastAsia" w:hAnsiTheme="minorEastAsia" w:eastAsiaTheme="minorEastAsia" w:cstheme="minorEastAsia"/>
                <w:color w:val="auto"/>
                <w:spacing w:val="-3"/>
                <w:sz w:val="21"/>
                <w:szCs w:val="21"/>
                <w:highlight w:val="none"/>
                <w:rtl w:val="0"/>
                <w:lang w:val="en-US" w:eastAsia="zh-CN"/>
              </w:rPr>
              <w:t>7</w:t>
            </w:r>
            <w:r>
              <w:rPr>
                <w:rFonts w:hint="eastAsia" w:asciiTheme="minorEastAsia" w:hAnsiTheme="minorEastAsia" w:eastAsiaTheme="minorEastAsia" w:cstheme="minorEastAsia"/>
                <w:color w:val="auto"/>
                <w:spacing w:val="-3"/>
                <w:sz w:val="21"/>
                <w:szCs w:val="21"/>
                <w:highlight w:val="none"/>
                <w:rtl w:val="0"/>
              </w:rPr>
              <w:t>0%</w:t>
            </w:r>
            <w:r>
              <w:rPr>
                <w:rFonts w:hint="eastAsia" w:asciiTheme="minorEastAsia" w:hAnsiTheme="minorEastAsia" w:eastAsiaTheme="minorEastAsia" w:cstheme="minorEastAsia"/>
                <w:color w:val="auto"/>
                <w:spacing w:val="-3"/>
                <w:sz w:val="21"/>
                <w:szCs w:val="21"/>
                <w:highlight w:val="none"/>
                <w:rtl w:val="0"/>
                <w:lang w:val="en-US" w:eastAsia="zh-CN"/>
              </w:rPr>
              <w:t>或由甲方换一家主体注册</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70% of the received service fee will be refunded OR Party A may replace the registering entity</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Deregistration fees after certificate issuance: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（2）下证后的注销费：</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Germany WEEE Deregistration: Authorization certificate deregistration fee + WEEE certificate deregistration fee will be incurred. The authorization certificate deregistration fee is 20 Euros. Deregistering only a brand or category: each WEEE certificate deregistration fee is 15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德国WEEE注销：会产生授权证书注销费+WEEE证书注销费，授权证书注销费为 20 欧元，只注销品牌或者类别：每个WEEE证书注销费为 15 欧元。</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Germany Battery Law Deregistration: Deregistration fee for each brand certificate is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 Euros, additional brand certificate deregistration fee is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德国电池法注销：每个品牌证书注销费为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欧元，额外品牌证书注销费为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欧元。</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fees for other countries are detailed in the attached quotation list.</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其他国家的注销费详见附件中的报价单。</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Except for the terms expressly modified in this Supplementary Agreement, the remaining terms of the original agreement shall continue to be effective. This Supplementary Agreement has the same legal effect as the original agreement. This Agreement is made in duplicate, with Party A and Party B each holding one copy. This Agreement shall take effect from the date of sealing by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除本补充协议中明确所作修改的条款之外，原协议的其余条款继续有效，本补充协议与原协议具有同等法律效力，一式贰份，甲乙双方各执壹份，自双方盖章之日起生效。</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(This space is intentionally left blank. The following is the signature and seal area for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（以下无正文，为双方签字盖章处）</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甲方：（盖章）</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授权代表：（签字）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Date:</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日期：</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 年</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 月</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 日</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乙方：（盖章）</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授权代表：（签字）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Date: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日期： </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年 </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月 </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日</w:t>
      </w: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jc w:val="left"/>
        <w:textAlignment w:val="baseline"/>
        <w:rPr>
          <w:rFonts w:hint="eastAsia" w:asciiTheme="minorHAnsi" w:hAnsiTheme="minorHAnsi" w:eastAsiaTheme="minorEastAsia" w:cstheme="minorBidi"/>
          <w:b/>
          <w:bCs/>
          <w:snapToGrid/>
          <w:kern w:val="2"/>
          <w:sz w:val="24"/>
          <w:szCs w:val="32"/>
          <w:rtl w:val="0"/>
          <w:lang w:eastAsia="zh-CN"/>
        </w:rPr>
      </w:pPr>
      <w:r>
        <w:rPr>
          <w:rFonts w:hint="eastAsia" w:asciiTheme="minorEastAsia" w:hAnsiTheme="minorEastAsia" w:eastAsiaTheme="minorEastAsia" w:cstheme="minorEastAsia"/>
          <w:color w:val="000000"/>
          <w:sz w:val="24"/>
          <w:szCs w:val="24"/>
          <w:shd w:val="clear" w:fill="auto"/>
          <w:rtl w:val="0"/>
        </w:rPr>
        <w:t xml:space="preserve"> </w:t>
      </w:r>
      <w:r>
        <w:rPr>
          <w:rFonts w:hint="eastAsia" w:asciiTheme="minorHAnsi" w:hAnsiTheme="minorHAnsi" w:eastAsiaTheme="minorEastAsia" w:cstheme="minorBidi"/>
          <w:b/>
          <w:bCs/>
          <w:snapToGrid/>
          <w:kern w:val="2"/>
          <w:sz w:val="24"/>
          <w:szCs w:val="32"/>
          <w:rtl w:val="0"/>
          <w:lang w:eastAsia="zh-CN"/>
        </w:rPr>
        <w:t>Annex I: Germany EPR Quotation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val="en-US" w:eastAsia="zh-CN"/>
        </w:rPr>
      </w:pPr>
      <w:r>
        <w:rPr>
          <w:rFonts w:hint="eastAsia" w:asciiTheme="minorHAnsi" w:hAnsiTheme="minorHAnsi" w:eastAsiaTheme="minorEastAsia" w:cstheme="minorBidi"/>
          <w:b/>
          <w:bCs/>
          <w:snapToGrid/>
          <w:kern w:val="2"/>
          <w:sz w:val="24"/>
          <w:szCs w:val="32"/>
          <w:rtl w:val="0"/>
          <w:lang w:val="en-US" w:eastAsia="zh-CN"/>
        </w:rPr>
        <w:t>附件一、德国EPR报价</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WEEE (Registration -- 1 category, 1 brand + 1 year declaration, including official fees and guarantee fee for specified quantity, excluding actual recycling fees) The 2026 renewal package price is 500 Euros; for each additional brand, Party A needs to pay an additional 70 Euros; for each additional category, Party A needs to pay an additional 160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1.</w:t>
      </w:r>
      <w:r>
        <w:rPr>
          <w:rFonts w:hint="eastAsia" w:asciiTheme="minorHAnsi" w:hAnsiTheme="minorHAnsi" w:eastAsiaTheme="minorEastAsia" w:cstheme="minorBidi"/>
          <w:snapToGrid/>
          <w:kern w:val="2"/>
          <w:sz w:val="24"/>
          <w:szCs w:val="32"/>
          <w:rtl w:val="0"/>
          <w:lang w:eastAsia="zh-CN"/>
        </w:rPr>
        <w:t>德国 WEEE（注册--1 类 1 品牌+1 年申报，含官费和指定数量的担保费，不含实际回收费）</w:t>
      </w:r>
      <w:r>
        <w:rPr>
          <w:rFonts w:hint="eastAsia" w:asciiTheme="minorHAnsi" w:hAnsiTheme="minorHAnsi" w:eastAsiaTheme="minorEastAsia" w:cstheme="minorBidi"/>
          <w:snapToGrid/>
          <w:kern w:val="2"/>
          <w:sz w:val="24"/>
          <w:szCs w:val="32"/>
          <w:rtl w:val="0"/>
          <w:lang w:val="en-US" w:eastAsia="zh-CN"/>
        </w:rPr>
        <w:t>2026年续费</w:t>
      </w:r>
      <w:r>
        <w:rPr>
          <w:rFonts w:hint="eastAsia" w:asciiTheme="minorHAnsi" w:hAnsiTheme="minorHAnsi" w:eastAsiaTheme="minorEastAsia" w:cstheme="minorBidi"/>
          <w:snapToGrid/>
          <w:kern w:val="2"/>
          <w:sz w:val="24"/>
          <w:szCs w:val="32"/>
          <w:rtl w:val="0"/>
          <w:lang w:eastAsia="zh-CN"/>
        </w:rPr>
        <w:t xml:space="preserve">套餐价格为 </w:t>
      </w:r>
      <w:r>
        <w:rPr>
          <w:rFonts w:hint="eastAsia" w:asciiTheme="minorHAnsi" w:hAnsiTheme="minorHAnsi" w:eastAsiaTheme="minorEastAsia" w:cstheme="minorBidi"/>
          <w:snapToGrid/>
          <w:kern w:val="2"/>
          <w:sz w:val="24"/>
          <w:szCs w:val="32"/>
          <w:rtl w:val="0"/>
          <w:lang w:val="en-US" w:eastAsia="zh-CN"/>
        </w:rPr>
        <w:t>50</w:t>
      </w:r>
      <w:r>
        <w:rPr>
          <w:rFonts w:hint="eastAsia" w:asciiTheme="minorHAnsi" w:hAnsiTheme="minorHAnsi" w:eastAsiaTheme="minorEastAsia" w:cstheme="minorBidi"/>
          <w:snapToGrid/>
          <w:kern w:val="2"/>
          <w:sz w:val="24"/>
          <w:szCs w:val="32"/>
          <w:rtl w:val="0"/>
          <w:lang w:eastAsia="zh-CN"/>
        </w:rPr>
        <w:t xml:space="preserve">0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 xml:space="preserve">元；每增加一个品牌，则甲方需另付 70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元；每增加一个类别，则甲方另付 16</w:t>
      </w:r>
      <w:r>
        <w:rPr>
          <w:rFonts w:hint="eastAsia" w:asciiTheme="minorHAnsi" w:hAnsiTheme="minorHAnsi" w:eastAsiaTheme="minorEastAsia" w:cstheme="minorBidi"/>
          <w:snapToGrid/>
          <w:kern w:val="2"/>
          <w:sz w:val="24"/>
          <w:szCs w:val="32"/>
          <w:rtl w:val="0"/>
          <w:lang w:val="en-US" w:eastAsia="zh-CN"/>
        </w:rPr>
        <w:t>0</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w:t>
      </w:r>
      <w:r>
        <w:rPr>
          <w:rFonts w:hint="eastAsia" w:asciiTheme="minorHAnsi" w:hAnsiTheme="minorHAnsi" w:eastAsiaTheme="minorEastAsia" w:cstheme="minorBidi"/>
          <w:snapToGrid/>
          <w:kern w:val="2"/>
          <w:sz w:val="24"/>
          <w:szCs w:val="32"/>
          <w:rtl w:val="0"/>
          <w:lang w:val="en-US" w:eastAsia="zh-CN"/>
        </w:rPr>
        <w:t>。</w:t>
      </w:r>
    </w:p>
    <w:p>
      <w:pPr>
        <w:numPr>
          <w:ilvl w:val="0"/>
          <w:numId w:val="0"/>
        </w:numPr>
        <w:tabs>
          <w:tab w:val="left" w:pos="219"/>
        </w:tabs>
        <w:spacing w:line="340" w:lineRule="auto"/>
        <w:jc w:val="left"/>
        <w:rPr>
          <w:rFonts w:hint="eastAsia" w:asciiTheme="minorEastAsia" w:hAnsiTheme="minorEastAsia" w:eastAsiaTheme="minorEastAsia" w:cstheme="minorEastAsia"/>
          <w:color w:val="auto"/>
          <w:spacing w:val="-3"/>
          <w:sz w:val="24"/>
          <w:szCs w:val="24"/>
          <w:lang w:val="en-US" w:eastAsia="zh-CN"/>
        </w:rPr>
      </w:pPr>
    </w:p>
    <w:tbl>
      <w:tblPr>
        <w:tblStyle w:val="18"/>
        <w:tblpPr w:leftFromText="180" w:rightFromText="180" w:vertAnchor="text" w:horzAnchor="page" w:tblpX="789" w:tblpY="-20"/>
        <w:tblOverlap w:val="never"/>
        <w:tblW w:w="106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9"/>
        <w:gridCol w:w="4403"/>
        <w:gridCol w:w="1728"/>
        <w:gridCol w:w="24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6" w:hRule="atLeast"/>
        </w:trPr>
        <w:tc>
          <w:tcPr>
            <w:tcW w:w="6492" w:type="dxa"/>
            <w:gridSpan w:val="2"/>
            <w:vAlign w:val="top"/>
          </w:tcPr>
          <w:p>
            <w:pPr>
              <w:pStyle w:val="28"/>
              <w:spacing w:before="59" w:line="420" w:lineRule="exact"/>
              <w:ind w:left="1866"/>
              <w:jc w:val="both"/>
              <w:rPr>
                <w:rFonts w:hint="eastAsia" w:asciiTheme="minorEastAsia" w:hAnsiTheme="minorEastAsia" w:eastAsiaTheme="minorEastAsia" w:cstheme="minorEastAsia"/>
                <w:b/>
                <w:bCs/>
                <w:color w:val="auto"/>
                <w:spacing w:val="-3"/>
                <w:sz w:val="24"/>
                <w:szCs w:val="24"/>
                <w:lang w:val="en-US" w:eastAsia="zh-CN"/>
              </w:rPr>
            </w:pPr>
            <w:r>
              <w:rPr>
                <w:rFonts w:hint="eastAsia" w:asciiTheme="minorEastAsia" w:hAnsiTheme="minorEastAsia" w:eastAsiaTheme="minorEastAsia" w:cstheme="minorEastAsia"/>
                <w:b/>
                <w:bCs/>
                <w:color w:val="auto"/>
                <w:spacing w:val="-3"/>
                <w:sz w:val="24"/>
                <w:szCs w:val="24"/>
              </w:rPr>
              <w:t>服务项目</w:t>
            </w:r>
            <w:r>
              <w:rPr>
                <w:rFonts w:hint="eastAsia" w:asciiTheme="minorEastAsia" w:hAnsiTheme="minorEastAsia" w:eastAsiaTheme="minorEastAsia" w:cstheme="minorEastAsia"/>
                <w:b/>
                <w:bCs/>
                <w:color w:val="auto"/>
                <w:spacing w:val="-3"/>
                <w:sz w:val="24"/>
                <w:szCs w:val="24"/>
                <w:lang w:val="en-US" w:eastAsia="zh-CN"/>
              </w:rPr>
              <w:t xml:space="preserve">  </w:t>
            </w:r>
          </w:p>
          <w:p>
            <w:pPr>
              <w:pStyle w:val="28"/>
              <w:spacing w:before="59" w:line="420" w:lineRule="exact"/>
              <w:ind w:left="1866"/>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Item</w:t>
            </w:r>
          </w:p>
        </w:tc>
        <w:tc>
          <w:tcPr>
            <w:tcW w:w="1728" w:type="dxa"/>
            <w:vAlign w:val="top"/>
          </w:tcPr>
          <w:p>
            <w:pPr>
              <w:pStyle w:val="28"/>
              <w:spacing w:before="59" w:line="420" w:lineRule="exact"/>
              <w:ind w:firstLine="230" w:firstLineChars="100"/>
              <w:jc w:val="both"/>
              <w:rPr>
                <w:rFonts w:hint="eastAsia" w:asciiTheme="minorEastAsia" w:hAnsiTheme="minorEastAsia" w:eastAsiaTheme="minorEastAsia" w:cstheme="minorEastAsia"/>
                <w:b/>
                <w:bCs/>
                <w:color w:val="auto"/>
                <w:spacing w:val="-5"/>
                <w:sz w:val="24"/>
                <w:szCs w:val="24"/>
              </w:rPr>
            </w:pPr>
            <w:r>
              <w:rPr>
                <w:rFonts w:hint="eastAsia" w:asciiTheme="minorEastAsia" w:hAnsiTheme="minorEastAsia" w:eastAsiaTheme="minorEastAsia" w:cstheme="minorEastAsia"/>
                <w:b/>
                <w:bCs/>
                <w:color w:val="auto"/>
                <w:spacing w:val="-5"/>
                <w:sz w:val="24"/>
                <w:szCs w:val="24"/>
              </w:rPr>
              <w:t>费用（</w:t>
            </w:r>
            <w:r>
              <w:rPr>
                <w:rFonts w:hint="eastAsia" w:asciiTheme="minorEastAsia" w:hAnsiTheme="minorEastAsia" w:eastAsiaTheme="minorEastAsia" w:cstheme="minorEastAsia"/>
                <w:b/>
                <w:bCs/>
                <w:i w:val="0"/>
                <w:smallCaps w:val="0"/>
                <w:strike w:val="0"/>
                <w:color w:val="000000"/>
                <w:sz w:val="24"/>
                <w:szCs w:val="24"/>
                <w:u w:val="none"/>
                <w:shd w:val="clear" w:fill="auto"/>
                <w:vertAlign w:val="baseline"/>
                <w:rtl w:val="0"/>
                <w:lang w:val="en-US" w:eastAsia="zh-CN"/>
              </w:rPr>
              <w:t>欧</w:t>
            </w:r>
            <w:r>
              <w:rPr>
                <w:rFonts w:hint="eastAsia" w:asciiTheme="minorEastAsia" w:hAnsiTheme="minorEastAsia" w:eastAsiaTheme="minorEastAsia" w:cstheme="minorEastAsia"/>
                <w:b/>
                <w:bCs/>
                <w:i w:val="0"/>
                <w:smallCaps w:val="0"/>
                <w:strike w:val="0"/>
                <w:color w:val="000000"/>
                <w:sz w:val="24"/>
                <w:szCs w:val="24"/>
                <w:u w:val="none"/>
                <w:shd w:val="clear" w:fill="auto"/>
                <w:vertAlign w:val="baseline"/>
                <w:rtl w:val="0"/>
              </w:rPr>
              <w:t>元</w:t>
            </w:r>
            <w:r>
              <w:rPr>
                <w:rFonts w:hint="eastAsia" w:asciiTheme="minorEastAsia" w:hAnsiTheme="minorEastAsia" w:eastAsiaTheme="minorEastAsia" w:cstheme="minorEastAsia"/>
                <w:b/>
                <w:bCs/>
                <w:color w:val="auto"/>
                <w:spacing w:val="-5"/>
                <w:sz w:val="24"/>
                <w:szCs w:val="24"/>
              </w:rPr>
              <w:t>）</w:t>
            </w:r>
          </w:p>
          <w:p>
            <w:pPr>
              <w:pStyle w:val="28"/>
              <w:spacing w:before="59" w:line="420" w:lineRule="exact"/>
              <w:ind w:firstLine="380" w:firstLineChars="200"/>
              <w:jc w:val="both"/>
              <w:rPr>
                <w:rFonts w:hint="eastAsia" w:asciiTheme="minorEastAsia" w:hAnsiTheme="minorEastAsia" w:eastAsiaTheme="minorEastAsia" w:cstheme="minorEastAsia"/>
                <w:b/>
                <w:bCs/>
                <w:color w:val="auto"/>
                <w:spacing w:val="-5"/>
                <w:sz w:val="24"/>
                <w:szCs w:val="24"/>
              </w:rPr>
            </w:pPr>
            <w:r>
              <w:rPr>
                <w:rStyle w:val="17"/>
                <w:rFonts w:ascii="Segoe UI" w:hAnsi="Segoe UI" w:eastAsia="Segoe UI" w:cs="Segoe UI"/>
                <w:b/>
                <w:bCs/>
                <w:i w:val="0"/>
                <w:iCs w:val="0"/>
                <w:caps w:val="0"/>
                <w:color w:val="0F1115"/>
                <w:spacing w:val="0"/>
                <w:sz w:val="19"/>
                <w:szCs w:val="19"/>
                <w:shd w:val="clear" w:fill="FFFFFF"/>
              </w:rPr>
              <w:t>Fee (EUR)</w:t>
            </w:r>
          </w:p>
        </w:tc>
        <w:tc>
          <w:tcPr>
            <w:tcW w:w="2472" w:type="dxa"/>
            <w:vAlign w:val="top"/>
          </w:tcPr>
          <w:p>
            <w:pPr>
              <w:pStyle w:val="28"/>
              <w:spacing w:before="59" w:line="420" w:lineRule="exact"/>
              <w:ind w:firstLine="480" w:firstLineChars="200"/>
              <w:jc w:val="both"/>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服务期限</w:t>
            </w:r>
          </w:p>
          <w:p>
            <w:pPr>
              <w:pStyle w:val="28"/>
              <w:spacing w:before="59" w:line="420" w:lineRule="exact"/>
              <w:ind w:firstLine="380" w:firstLineChars="200"/>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Term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1" w:hRule="atLeast"/>
        </w:trPr>
        <w:tc>
          <w:tcPr>
            <w:tcW w:w="2089" w:type="dxa"/>
            <w:vMerge w:val="restart"/>
            <w:vAlign w:val="top"/>
          </w:tcPr>
          <w:p>
            <w:pPr>
              <w:pStyle w:val="28"/>
              <w:spacing w:before="78" w:line="420" w:lineRule="exact"/>
              <w:rPr>
                <w:rFonts w:hint="eastAsia" w:asciiTheme="minorEastAsia" w:hAnsiTheme="minorEastAsia" w:eastAsiaTheme="minorEastAsia" w:cstheme="minorEastAsia"/>
                <w:color w:val="auto"/>
                <w:spacing w:val="-1"/>
                <w:sz w:val="21"/>
                <w:szCs w:val="21"/>
              </w:rPr>
            </w:pPr>
          </w:p>
          <w:p>
            <w:pPr>
              <w:pStyle w:val="28"/>
              <w:spacing w:before="78" w:line="420" w:lineRule="exact"/>
              <w:jc w:val="center"/>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德国</w:t>
            </w:r>
            <w:r>
              <w:rPr>
                <w:rFonts w:hint="eastAsia" w:asciiTheme="minorEastAsia" w:hAnsiTheme="minorEastAsia" w:eastAsiaTheme="minorEastAsia" w:cstheme="minorEastAsia"/>
                <w:color w:val="auto"/>
                <w:spacing w:val="-1"/>
                <w:sz w:val="21"/>
                <w:szCs w:val="21"/>
              </w:rPr>
              <w:t>WEEE</w:t>
            </w:r>
          </w:p>
          <w:p>
            <w:pPr>
              <w:pStyle w:val="28"/>
              <w:spacing w:before="78" w:line="420" w:lineRule="exact"/>
              <w:jc w:val="center"/>
              <w:rPr>
                <w:rFonts w:hint="eastAsia" w:asciiTheme="minorEastAsia" w:hAnsiTheme="minorEastAsia" w:eastAsiaTheme="minorEastAsia" w:cstheme="minorEastAsia"/>
                <w:color w:val="auto"/>
                <w:spacing w:val="-1"/>
                <w:sz w:val="21"/>
                <w:szCs w:val="21"/>
                <w:lang w:eastAsia="zh-CN"/>
              </w:rPr>
            </w:pPr>
            <w:r>
              <w:rPr>
                <w:rFonts w:hint="eastAsia" w:asciiTheme="minorEastAsia" w:hAnsiTheme="minorEastAsia" w:eastAsiaTheme="minorEastAsia" w:cstheme="minorEastAsia"/>
                <w:color w:val="auto"/>
                <w:spacing w:val="-1"/>
                <w:sz w:val="21"/>
                <w:szCs w:val="21"/>
                <w:lang w:eastAsia="zh-CN"/>
              </w:rPr>
              <w:t>（</w:t>
            </w:r>
            <w:r>
              <w:rPr>
                <w:rFonts w:hint="eastAsia" w:asciiTheme="minorEastAsia" w:hAnsiTheme="minorEastAsia" w:eastAsiaTheme="minorEastAsia" w:cstheme="minorEastAsia"/>
                <w:color w:val="auto"/>
                <w:spacing w:val="-1"/>
                <w:sz w:val="21"/>
                <w:szCs w:val="21"/>
                <w:lang w:val="en-US" w:eastAsia="zh-CN"/>
              </w:rPr>
              <w:t>2026年续费</w:t>
            </w:r>
            <w:r>
              <w:rPr>
                <w:rFonts w:hint="eastAsia" w:asciiTheme="minorEastAsia" w:hAnsiTheme="minorEastAsia" w:eastAsiaTheme="minorEastAsia" w:cstheme="minorEastAsia"/>
                <w:color w:val="auto"/>
                <w:spacing w:val="-1"/>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Germany WEEE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 (2026 Renewal)</w:t>
            </w:r>
          </w:p>
        </w:tc>
        <w:tc>
          <w:tcPr>
            <w:tcW w:w="4403" w:type="dxa"/>
            <w:vAlign w:val="top"/>
          </w:tcPr>
          <w:p>
            <w:pPr>
              <w:pStyle w:val="28"/>
              <w:spacing w:before="56" w:line="420" w:lineRule="exact"/>
              <w:ind w:left="111" w:right="24"/>
              <w:jc w:val="both"/>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7"/>
                <w:sz w:val="21"/>
                <w:szCs w:val="21"/>
              </w:rPr>
              <w:t>注册--1</w:t>
            </w:r>
            <w:r>
              <w:rPr>
                <w:rFonts w:hint="eastAsia" w:asciiTheme="minorEastAsia" w:hAnsiTheme="minorEastAsia" w:eastAsiaTheme="minorEastAsia" w:cstheme="minorEastAsia"/>
                <w:color w:val="auto"/>
                <w:spacing w:val="-61"/>
                <w:sz w:val="21"/>
                <w:szCs w:val="21"/>
              </w:rPr>
              <w:t xml:space="preserve"> </w:t>
            </w:r>
            <w:r>
              <w:rPr>
                <w:rFonts w:hint="eastAsia" w:asciiTheme="minorEastAsia" w:hAnsiTheme="minorEastAsia" w:eastAsiaTheme="minorEastAsia" w:cstheme="minorEastAsia"/>
                <w:color w:val="auto"/>
                <w:spacing w:val="-7"/>
                <w:sz w:val="21"/>
                <w:szCs w:val="21"/>
              </w:rPr>
              <w:t>类</w:t>
            </w:r>
            <w:r>
              <w:rPr>
                <w:rFonts w:hint="eastAsia" w:asciiTheme="minorEastAsia" w:hAnsiTheme="minorEastAsia" w:eastAsiaTheme="minorEastAsia" w:cstheme="minorEastAsia"/>
                <w:color w:val="auto"/>
                <w:spacing w:val="-52"/>
                <w:sz w:val="21"/>
                <w:szCs w:val="21"/>
              </w:rPr>
              <w:t xml:space="preserve"> </w:t>
            </w:r>
            <w:r>
              <w:rPr>
                <w:rFonts w:hint="eastAsia" w:asciiTheme="minorEastAsia" w:hAnsiTheme="minorEastAsia" w:eastAsiaTheme="minorEastAsia" w:cstheme="minorEastAsia"/>
                <w:color w:val="auto"/>
                <w:spacing w:val="-7"/>
                <w:sz w:val="21"/>
                <w:szCs w:val="21"/>
              </w:rPr>
              <w:t>1</w:t>
            </w:r>
            <w:r>
              <w:rPr>
                <w:rFonts w:hint="eastAsia" w:asciiTheme="minorEastAsia" w:hAnsiTheme="minorEastAsia" w:eastAsiaTheme="minorEastAsia" w:cstheme="minorEastAsia"/>
                <w:color w:val="auto"/>
                <w:spacing w:val="-48"/>
                <w:sz w:val="21"/>
                <w:szCs w:val="21"/>
              </w:rPr>
              <w:t xml:space="preserve"> </w:t>
            </w:r>
            <w:r>
              <w:rPr>
                <w:rFonts w:hint="eastAsia" w:asciiTheme="minorEastAsia" w:hAnsiTheme="minorEastAsia" w:eastAsiaTheme="minorEastAsia" w:cstheme="minorEastAsia"/>
                <w:color w:val="auto"/>
                <w:spacing w:val="-7"/>
                <w:sz w:val="21"/>
                <w:szCs w:val="21"/>
              </w:rPr>
              <w:t>品牌+1</w:t>
            </w:r>
            <w:r>
              <w:rPr>
                <w:rFonts w:hint="eastAsia" w:asciiTheme="minorEastAsia" w:hAnsiTheme="minorEastAsia" w:eastAsiaTheme="minorEastAsia" w:cstheme="minorEastAsia"/>
                <w:color w:val="auto"/>
                <w:spacing w:val="-69"/>
                <w:sz w:val="21"/>
                <w:szCs w:val="21"/>
              </w:rPr>
              <w:t xml:space="preserve"> </w:t>
            </w:r>
            <w:r>
              <w:rPr>
                <w:rFonts w:hint="eastAsia" w:asciiTheme="minorEastAsia" w:hAnsiTheme="minorEastAsia" w:eastAsiaTheme="minorEastAsia" w:cstheme="minorEastAsia"/>
                <w:color w:val="auto"/>
                <w:spacing w:val="-7"/>
                <w:sz w:val="21"/>
                <w:szCs w:val="21"/>
              </w:rPr>
              <w:t>年申报,含官费</w:t>
            </w:r>
            <w:r>
              <w:rPr>
                <w:rFonts w:hint="eastAsia" w:asciiTheme="minorEastAsia" w:hAnsiTheme="minorEastAsia" w:eastAsiaTheme="minorEastAsia" w:cstheme="minorEastAsia"/>
                <w:color w:val="auto"/>
                <w:spacing w:val="-7"/>
                <w:sz w:val="21"/>
                <w:szCs w:val="21"/>
                <w:lang w:eastAsia="zh-CN"/>
              </w:rPr>
              <w:t>和</w:t>
            </w:r>
            <w:r>
              <w:rPr>
                <w:rFonts w:hint="eastAsia" w:asciiTheme="minorEastAsia" w:hAnsiTheme="minorEastAsia" w:eastAsiaTheme="minorEastAsia" w:cstheme="minorEastAsia"/>
                <w:color w:val="auto"/>
                <w:spacing w:val="-4"/>
                <w:sz w:val="21"/>
                <w:szCs w:val="21"/>
              </w:rPr>
              <w:t>指定数量的</w:t>
            </w:r>
            <w:r>
              <w:rPr>
                <w:rFonts w:hint="eastAsia" w:asciiTheme="minorEastAsia" w:hAnsiTheme="minorEastAsia" w:eastAsiaTheme="minorEastAsia" w:cstheme="minorEastAsia"/>
                <w:color w:val="auto"/>
                <w:spacing w:val="-3"/>
                <w:sz w:val="21"/>
                <w:szCs w:val="21"/>
              </w:rPr>
              <w:t>担保费，</w:t>
            </w:r>
            <w:r>
              <w:rPr>
                <w:rFonts w:hint="eastAsia" w:asciiTheme="minorEastAsia" w:hAnsiTheme="minorEastAsia" w:eastAsiaTheme="minorEastAsia" w:cstheme="minorEastAsia"/>
                <w:color w:val="auto"/>
                <w:spacing w:val="-1"/>
                <w:sz w:val="21"/>
                <w:szCs w:val="21"/>
              </w:rPr>
              <w:t>不含实际回收费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Registration -- 1 category, 1 brand + 1 year declaration, including official fees and guarantee fee for specified quantity, excluding actual recycling fees.</w:t>
            </w:r>
          </w:p>
        </w:tc>
        <w:tc>
          <w:tcPr>
            <w:tcW w:w="1728" w:type="dxa"/>
            <w:vAlign w:val="center"/>
          </w:tcPr>
          <w:p>
            <w:pPr>
              <w:pStyle w:val="28"/>
              <w:spacing w:before="65" w:line="420" w:lineRule="exact"/>
              <w:ind w:left="0"/>
              <w:jc w:val="center"/>
              <w:rPr>
                <w:rFonts w:hint="default"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zh-CN" w:bidi="ar-SA"/>
              </w:rPr>
              <w:t>500</w:t>
            </w:r>
          </w:p>
        </w:tc>
        <w:tc>
          <w:tcPr>
            <w:tcW w:w="2472" w:type="dxa"/>
            <w:vAlign w:val="center"/>
          </w:tcPr>
          <w:p>
            <w:pPr>
              <w:pStyle w:val="28"/>
              <w:spacing w:before="78"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每</w:t>
            </w:r>
            <w:r>
              <w:rPr>
                <w:rFonts w:hint="eastAsia" w:asciiTheme="minorEastAsia" w:hAnsiTheme="minorEastAsia" w:eastAsiaTheme="minorEastAsia" w:cstheme="minorEastAsia"/>
                <w:color w:val="auto"/>
                <w:spacing w:val="-5"/>
                <w:sz w:val="21"/>
                <w:szCs w:val="21"/>
                <w:lang w:val="en-US" w:eastAsia="zh-CN"/>
              </w:rPr>
              <w:t>个自然年</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default"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pStyle w:val="28"/>
              <w:spacing w:before="61" w:line="420" w:lineRule="exact"/>
              <w:ind w:left="113"/>
              <w:rPr>
                <w:rFonts w:hint="eastAsia" w:asciiTheme="minorEastAsia" w:hAnsiTheme="minorEastAsia" w:eastAsiaTheme="minorEastAsia" w:cstheme="minorEastAsia"/>
                <w:color w:val="auto"/>
                <w:spacing w:val="-7"/>
                <w:sz w:val="21"/>
                <w:szCs w:val="21"/>
                <w:lang w:val="en-US" w:eastAsia="zh-CN"/>
              </w:rPr>
            </w:pPr>
            <w:r>
              <w:rPr>
                <w:rFonts w:hint="eastAsia" w:asciiTheme="minorEastAsia" w:hAnsiTheme="minorEastAsia" w:eastAsiaTheme="minorEastAsia" w:cstheme="minorEastAsia"/>
                <w:color w:val="auto"/>
                <w:spacing w:val="-7"/>
                <w:sz w:val="21"/>
                <w:szCs w:val="21"/>
                <w:lang w:val="en-US" w:eastAsia="zh-CN"/>
              </w:rPr>
              <w:t>增加一个类别</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category</w:t>
            </w:r>
          </w:p>
        </w:tc>
        <w:tc>
          <w:tcPr>
            <w:tcW w:w="1728" w:type="dxa"/>
            <w:vAlign w:val="center"/>
          </w:tcPr>
          <w:p>
            <w:pPr>
              <w:pStyle w:val="28"/>
              <w:spacing w:before="107"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16</w:t>
            </w:r>
            <w:r>
              <w:rPr>
                <w:rFonts w:hint="eastAsia" w:asciiTheme="minorEastAsia" w:hAnsiTheme="minorEastAsia" w:eastAsiaTheme="minorEastAsia" w:cstheme="minorEastAsia"/>
                <w:snapToGrid w:val="0"/>
                <w:color w:val="auto"/>
                <w:spacing w:val="-2"/>
                <w:kern w:val="0"/>
                <w:sz w:val="21"/>
                <w:szCs w:val="21"/>
                <w:lang w:val="en-US" w:eastAsia="zh-CN" w:bidi="ar-SA"/>
              </w:rPr>
              <w:t>0</w:t>
            </w:r>
          </w:p>
        </w:tc>
        <w:tc>
          <w:tcPr>
            <w:tcW w:w="2472" w:type="dxa"/>
            <w:vAlign w:val="center"/>
          </w:tcPr>
          <w:p>
            <w:pPr>
              <w:pStyle w:val="28"/>
              <w:spacing w:before="61"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每</w:t>
            </w:r>
            <w:r>
              <w:rPr>
                <w:rFonts w:hint="eastAsia" w:asciiTheme="minorEastAsia" w:hAnsiTheme="minorEastAsia" w:eastAsiaTheme="minorEastAsia" w:cstheme="minorEastAsia"/>
                <w:color w:val="auto"/>
                <w:spacing w:val="-5"/>
                <w:sz w:val="21"/>
                <w:szCs w:val="21"/>
                <w:lang w:val="en-US" w:eastAsia="zh-CN"/>
              </w:rPr>
              <w:t>个自然年</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5"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pStyle w:val="28"/>
              <w:spacing w:before="62" w:line="420" w:lineRule="exact"/>
              <w:ind w:left="113"/>
              <w:rPr>
                <w:rFonts w:hint="eastAsia" w:asciiTheme="minorEastAsia" w:hAnsiTheme="minorEastAsia" w:eastAsiaTheme="minorEastAsia" w:cstheme="minorEastAsia"/>
                <w:color w:val="auto"/>
                <w:spacing w:val="-7"/>
                <w:sz w:val="21"/>
                <w:szCs w:val="21"/>
                <w:lang w:val="en-US" w:eastAsia="zh-CN"/>
              </w:rPr>
            </w:pPr>
            <w:r>
              <w:rPr>
                <w:rFonts w:hint="eastAsia" w:asciiTheme="minorEastAsia" w:hAnsiTheme="minorEastAsia" w:eastAsiaTheme="minorEastAsia" w:cstheme="minorEastAsia"/>
                <w:color w:val="auto"/>
                <w:spacing w:val="-7"/>
                <w:sz w:val="21"/>
                <w:szCs w:val="21"/>
                <w:lang w:val="en-US" w:eastAsia="zh-CN"/>
              </w:rPr>
              <w:t>增加一个品牌</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brand</w:t>
            </w:r>
          </w:p>
        </w:tc>
        <w:tc>
          <w:tcPr>
            <w:tcW w:w="1728" w:type="dxa"/>
            <w:vAlign w:val="center"/>
          </w:tcPr>
          <w:p>
            <w:pPr>
              <w:pStyle w:val="28"/>
              <w:spacing w:before="109"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70</w:t>
            </w:r>
          </w:p>
        </w:tc>
        <w:tc>
          <w:tcPr>
            <w:tcW w:w="2472" w:type="dxa"/>
            <w:vAlign w:val="center"/>
          </w:tcPr>
          <w:p>
            <w:pPr>
              <w:pStyle w:val="28"/>
              <w:spacing w:before="62"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每</w:t>
            </w:r>
            <w:r>
              <w:rPr>
                <w:rFonts w:hint="eastAsia" w:asciiTheme="minorEastAsia" w:hAnsiTheme="minorEastAsia" w:eastAsiaTheme="minorEastAsia" w:cstheme="minorEastAsia"/>
                <w:color w:val="auto"/>
                <w:spacing w:val="-5"/>
                <w:sz w:val="21"/>
                <w:szCs w:val="21"/>
                <w:lang w:val="en-US" w:eastAsia="zh-CN"/>
              </w:rPr>
              <w:t>个自然年</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bl>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(The fees for services and registrations under this Contract are determined based on the official fee regulations for 2026 issued by the German legislative body. Should the aforementioned fee regulations be amended or new fees be introduced,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本合同项下服务及注册的费用，依据德国立法机构发布的2026年官方收费条例确定。若前述收费条例发生修订或产生新增费用，乙方有权相应调整价格，最终金额以届时有效的官方规定为准。甲方对此价格调整机制予以确认和接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Guaranteed Quantities Included in Germany WEEE Package: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德国 WEEE套餐内担保量：</w:t>
      </w:r>
    </w:p>
    <w:tbl>
      <w:tblPr>
        <w:tblStyle w:val="18"/>
        <w:tblpPr w:leftFromText="180" w:rightFromText="180" w:vertAnchor="text" w:horzAnchor="page" w:tblpX="1338" w:tblpY="350"/>
        <w:tblOverlap w:val="never"/>
        <w:tblW w:w="975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4"/>
        <w:gridCol w:w="30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pStyle w:val="28"/>
              <w:spacing w:before="74" w:line="420" w:lineRule="exact"/>
              <w:jc w:val="center"/>
              <w:rPr>
                <w:rFonts w:ascii="Segoe UI" w:hAnsi="Segoe UI" w:eastAsia="Segoe UI" w:cs="Segoe UI"/>
                <w:i w:val="0"/>
                <w:iCs w:val="0"/>
                <w:caps w:val="0"/>
                <w:color w:val="0F1115"/>
                <w:spacing w:val="0"/>
                <w:sz w:val="19"/>
                <w:szCs w:val="19"/>
                <w:shd w:val="clear" w:fill="FFFFFF"/>
              </w:rPr>
            </w:pPr>
            <w:r>
              <w:rPr>
                <w:rFonts w:hint="eastAsia"/>
                <w:b/>
                <w:bCs/>
                <w:color w:val="auto"/>
                <w:sz w:val="21"/>
                <w:szCs w:val="21"/>
                <w:lang w:val="en-US" w:eastAsia="zh-CN"/>
              </w:rPr>
              <w:t xml:space="preserve">类别  </w:t>
            </w:r>
            <w:r>
              <w:rPr>
                <w:rFonts w:ascii="Segoe UI" w:hAnsi="Segoe UI" w:eastAsia="Segoe UI" w:cs="Segoe UI"/>
                <w:i w:val="0"/>
                <w:iCs w:val="0"/>
                <w:caps w:val="0"/>
                <w:color w:val="0F1115"/>
                <w:spacing w:val="0"/>
                <w:sz w:val="19"/>
                <w:szCs w:val="19"/>
                <w:shd w:val="clear" w:fill="FFFFFF"/>
              </w:rPr>
              <w:t> </w:t>
            </w:r>
          </w:p>
          <w:p>
            <w:pPr>
              <w:pStyle w:val="28"/>
              <w:spacing w:before="74" w:line="420" w:lineRule="exact"/>
              <w:jc w:val="center"/>
              <w:rPr>
                <w:rFonts w:hint="default" w:eastAsia="宋体"/>
                <w:b/>
                <w:bCs/>
                <w:color w:val="auto"/>
                <w:sz w:val="21"/>
                <w:szCs w:val="21"/>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3072" w:type="dxa"/>
            <w:vAlign w:val="top"/>
          </w:tcPr>
          <w:p>
            <w:pPr>
              <w:pStyle w:val="28"/>
              <w:spacing w:before="73" w:line="420" w:lineRule="exact"/>
              <w:jc w:val="center"/>
              <w:rPr>
                <w:rFonts w:hint="eastAsia"/>
                <w:b/>
                <w:bCs/>
                <w:color w:val="auto"/>
                <w:sz w:val="21"/>
                <w:szCs w:val="21"/>
                <w:lang w:val="en-US" w:eastAsia="zh-CN"/>
              </w:rPr>
            </w:pPr>
            <w:r>
              <w:rPr>
                <w:rFonts w:hint="eastAsia"/>
                <w:b/>
                <w:bCs/>
                <w:color w:val="auto"/>
                <w:sz w:val="21"/>
                <w:szCs w:val="21"/>
                <w:lang w:val="en-US" w:eastAsia="zh-CN"/>
              </w:rPr>
              <w:t>套餐内担保量</w:t>
            </w:r>
          </w:p>
          <w:p>
            <w:pPr>
              <w:pStyle w:val="28"/>
              <w:spacing w:before="73" w:line="420" w:lineRule="exact"/>
              <w:jc w:val="center"/>
              <w:rPr>
                <w:rFonts w:hint="default"/>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Guaranteed Quantity in Package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第一类 热交换设备</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072"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1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 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3"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第二类 表面积超过 100 cm²屏幕设备</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1 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28"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第三类 灯</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w:t>
            </w:r>
            <w:r>
              <w:rPr>
                <w:rFonts w:hint="eastAsia" w:asciiTheme="minorHAnsi" w:hAnsiTheme="minorHAnsi" w:eastAsiaTheme="minorEastAsia" w:cstheme="minorBidi"/>
                <w:snapToGrid/>
                <w:kern w:val="2"/>
                <w:sz w:val="24"/>
                <w:szCs w:val="32"/>
                <w:rtl w:val="0"/>
                <w:lang w:val="en-US" w:eastAsia="zh-CN"/>
              </w:rPr>
              <w:t xml:space="preserve"> 5</w:t>
            </w:r>
            <w:r>
              <w:rPr>
                <w:rFonts w:hint="eastAsia" w:asciiTheme="minorHAnsi" w:hAnsiTheme="minorHAnsi" w:eastAsiaTheme="minorEastAsia" w:cstheme="minorBidi"/>
                <w:snapToGrid/>
                <w:kern w:val="2"/>
                <w:sz w:val="24"/>
                <w:szCs w:val="32"/>
                <w:rtl w:val="0"/>
                <w:lang w:eastAsia="zh-CN"/>
              </w:rPr>
              <w:t>00</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KG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500 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4"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不超过 </w:t>
            </w:r>
            <w:r>
              <w:rPr>
                <w:rFonts w:hint="eastAsia" w:asciiTheme="minorHAnsi" w:hAnsiTheme="minorHAnsi" w:eastAsiaTheme="minorEastAsia" w:cstheme="minorBidi"/>
                <w:snapToGrid/>
                <w:kern w:val="2"/>
                <w:sz w:val="24"/>
                <w:szCs w:val="32"/>
                <w:rtl w:val="0"/>
                <w:lang w:val="en-US" w:eastAsia="zh-CN"/>
              </w:rPr>
              <w:t>10</w:t>
            </w:r>
            <w:r>
              <w:rPr>
                <w:rFonts w:hint="eastAsia" w:asciiTheme="minorHAnsi" w:hAnsiTheme="minorHAnsi" w:eastAsiaTheme="minorEastAsia" w:cstheme="minorBidi"/>
                <w:snapToGrid/>
                <w:kern w:val="2"/>
                <w:sz w:val="24"/>
                <w:szCs w:val="32"/>
                <w:rtl w:val="0"/>
                <w:lang w:eastAsia="zh-CN"/>
              </w:rPr>
              <w:t xml:space="preserve">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的大型光伏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5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不超过 </w:t>
            </w:r>
            <w:r>
              <w:rPr>
                <w:rFonts w:hint="eastAsia" w:asciiTheme="minorHAnsi" w:hAnsiTheme="minorHAnsi" w:eastAsiaTheme="minorEastAsia" w:cstheme="minorBidi"/>
                <w:snapToGrid/>
                <w:kern w:val="2"/>
                <w:sz w:val="24"/>
                <w:szCs w:val="32"/>
                <w:rtl w:val="0"/>
                <w:lang w:val="en-US" w:eastAsia="zh-CN"/>
              </w:rPr>
              <w:t>10</w:t>
            </w:r>
            <w:r>
              <w:rPr>
                <w:rFonts w:hint="eastAsia" w:asciiTheme="minorHAnsi" w:hAnsiTheme="minorHAnsi" w:eastAsiaTheme="minorEastAsia" w:cstheme="minorBidi"/>
                <w:snapToGrid/>
                <w:kern w:val="2"/>
                <w:sz w:val="24"/>
                <w:szCs w:val="32"/>
                <w:rtl w:val="0"/>
                <w:lang w:eastAsia="zh-CN"/>
              </w:rPr>
              <w:t xml:space="preserve">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的小型光伏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5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1"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第六类 单边尺寸不超过 50cm 的 IT 类私人家用电器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不超过 </w:t>
            </w:r>
            <w:r>
              <w:rPr>
                <w:rFonts w:hint="eastAsia" w:asciiTheme="minorHAnsi" w:hAnsiTheme="minorHAnsi" w:eastAsiaTheme="minorEastAsia" w:cstheme="minorBidi"/>
                <w:snapToGrid/>
                <w:kern w:val="2"/>
                <w:sz w:val="24"/>
                <w:szCs w:val="32"/>
                <w:rtl w:val="0"/>
                <w:lang w:val="en-US" w:eastAsia="zh-CN"/>
              </w:rPr>
              <w:t>10</w:t>
            </w:r>
            <w:r>
              <w:rPr>
                <w:rFonts w:hint="eastAsia" w:asciiTheme="minorHAnsi" w:hAnsiTheme="minorHAnsi" w:eastAsiaTheme="minorEastAsia" w:cstheme="minorBidi"/>
                <w:snapToGrid/>
                <w:kern w:val="2"/>
                <w:sz w:val="24"/>
                <w:szCs w:val="32"/>
                <w:rtl w:val="0"/>
                <w:lang w:eastAsia="zh-CN"/>
              </w:rPr>
              <w:t xml:space="preserve">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bl>
    <w:p>
      <w:pPr>
        <w:pStyle w:val="8"/>
        <w:spacing w:before="130" w:line="420" w:lineRule="exact"/>
        <w:rPr>
          <w:color w:val="auto"/>
          <w:spacing w:val="9"/>
          <w:sz w:val="24"/>
          <w:szCs w:val="24"/>
        </w:rPr>
      </w:pPr>
    </w:p>
    <w:p>
      <w:pPr>
        <w:pStyle w:val="8"/>
        <w:spacing w:before="130" w:line="420" w:lineRule="exact"/>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rPr>
          <w:color w:val="auto"/>
          <w:spacing w:val="9"/>
          <w:sz w:val="24"/>
          <w:szCs w:val="24"/>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In addition to the basic package above, if a customer purchases additional guarantee coverage mid-term outside the package, we will charge extra fees according to the following standards, plus a handling fee of 30 Euros per purchase: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bookmarkStart w:id="0" w:name="_GoBack"/>
      <w:bookmarkEnd w:id="0"/>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除上述基本套餐外，</w:t>
      </w:r>
      <w:r>
        <w:rPr>
          <w:rFonts w:hint="eastAsia" w:asciiTheme="minorHAnsi" w:hAnsiTheme="minorHAnsi" w:eastAsiaTheme="minorEastAsia" w:cstheme="minorBidi"/>
          <w:snapToGrid/>
          <w:kern w:val="2"/>
          <w:sz w:val="24"/>
          <w:szCs w:val="32"/>
          <w:rtl w:val="0"/>
          <w:lang w:val="en-US" w:eastAsia="zh-CN"/>
        </w:rPr>
        <w:t>若客户中途补买套餐外担保，我们将按如下标准</w:t>
      </w:r>
      <w:r>
        <w:rPr>
          <w:rFonts w:hint="eastAsia" w:asciiTheme="minorHAnsi" w:hAnsiTheme="minorHAnsi" w:eastAsiaTheme="minorEastAsia" w:cstheme="minorBidi"/>
          <w:snapToGrid/>
          <w:kern w:val="2"/>
          <w:sz w:val="24"/>
          <w:szCs w:val="32"/>
          <w:rtl w:val="0"/>
          <w:lang w:eastAsia="zh-CN"/>
        </w:rPr>
        <w:t>收取额外的费用，</w:t>
      </w:r>
      <w:r>
        <w:rPr>
          <w:rFonts w:hint="eastAsia" w:asciiTheme="minorHAnsi" w:hAnsiTheme="minorHAnsi" w:eastAsiaTheme="minorEastAsia" w:cstheme="minorBidi"/>
          <w:snapToGrid/>
          <w:kern w:val="2"/>
          <w:sz w:val="24"/>
          <w:szCs w:val="32"/>
          <w:rtl w:val="0"/>
          <w:lang w:val="en-US" w:eastAsia="zh-CN"/>
        </w:rPr>
        <w:t>同时每次补买另收手续费30欧</w:t>
      </w:r>
      <w:r>
        <w:rPr>
          <w:rFonts w:hint="eastAsia" w:asciiTheme="minorHAnsi" w:hAnsiTheme="minorHAnsi" w:eastAsiaTheme="minorEastAsia" w:cstheme="minorBidi"/>
          <w:snapToGrid/>
          <w:kern w:val="2"/>
          <w:sz w:val="24"/>
          <w:szCs w:val="32"/>
          <w:rtl w:val="0"/>
          <w:lang w:eastAsia="zh-CN"/>
        </w:rPr>
        <w:t>元</w:t>
      </w:r>
      <w:r>
        <w:rPr>
          <w:rFonts w:hint="eastAsia" w:asciiTheme="minorHAnsi" w:hAnsiTheme="minorHAnsi" w:eastAsiaTheme="minorEastAsia" w:cstheme="minorBidi"/>
          <w:snapToGrid/>
          <w:kern w:val="2"/>
          <w:sz w:val="24"/>
          <w:szCs w:val="32"/>
          <w:rtl w:val="0"/>
          <w:lang w:val="en-US" w:eastAsia="zh-CN"/>
        </w:rPr>
        <w:t>/次</w:t>
      </w:r>
      <w:r>
        <w:rPr>
          <w:rFonts w:hint="eastAsia" w:asciiTheme="minorHAnsi" w:hAnsiTheme="minorHAnsi" w:eastAsiaTheme="minorEastAsia" w:cstheme="minorBidi"/>
          <w:snapToGrid/>
          <w:kern w:val="2"/>
          <w:sz w:val="24"/>
          <w:szCs w:val="32"/>
          <w:rtl w:val="0"/>
          <w:lang w:eastAsia="zh-CN"/>
        </w:rPr>
        <w:t>：</w:t>
      </w:r>
    </w:p>
    <w:tbl>
      <w:tblPr>
        <w:tblStyle w:val="18"/>
        <w:tblpPr w:leftFromText="180" w:rightFromText="180" w:vertAnchor="text" w:horzAnchor="page" w:tblpX="1194" w:tblpY="115"/>
        <w:tblOverlap w:val="never"/>
        <w:tblW w:w="99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8"/>
        <w:gridCol w:w="33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pStyle w:val="28"/>
              <w:spacing w:before="73" w:line="420" w:lineRule="exact"/>
              <w:jc w:val="center"/>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类别  </w:t>
            </w:r>
          </w:p>
          <w:p>
            <w:pPr>
              <w:pStyle w:val="28"/>
              <w:spacing w:before="73" w:line="420" w:lineRule="exact"/>
              <w:jc w:val="center"/>
              <w:rPr>
                <w:rFonts w:hint="default" w:asciiTheme="minorEastAsia" w:hAnsiTheme="minorEastAsia" w:eastAsiaTheme="minorEastAsia" w:cstheme="minorEastAsia"/>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Category</w:t>
            </w:r>
          </w:p>
        </w:tc>
        <w:tc>
          <w:tcPr>
            <w:tcW w:w="3372" w:type="dxa"/>
            <w:vAlign w:val="top"/>
          </w:tcPr>
          <w:p>
            <w:pPr>
              <w:pStyle w:val="28"/>
              <w:spacing w:before="73" w:line="420" w:lineRule="exact"/>
              <w:jc w:val="center"/>
              <w:rPr>
                <w:rFonts w:hint="eastAsia" w:asciiTheme="minorEastAsia" w:hAnsiTheme="minorEastAsia" w:eastAsiaTheme="minorEastAsia" w:cstheme="minorEastAsia"/>
                <w:b/>
                <w:bCs/>
                <w:color w:val="auto"/>
                <w:spacing w:val="-5"/>
                <w:sz w:val="21"/>
                <w:szCs w:val="21"/>
                <w:lang w:val="en-US" w:eastAsia="zh-CN"/>
              </w:rPr>
            </w:pPr>
            <w:r>
              <w:rPr>
                <w:rFonts w:hint="eastAsia" w:asciiTheme="minorEastAsia" w:hAnsiTheme="minorEastAsia" w:eastAsiaTheme="minorEastAsia" w:cstheme="minorEastAsia"/>
                <w:b/>
                <w:bCs/>
                <w:color w:val="auto"/>
                <w:spacing w:val="-5"/>
                <w:sz w:val="21"/>
                <w:szCs w:val="21"/>
                <w:lang w:val="en-US" w:eastAsia="zh-CN"/>
              </w:rPr>
              <w:t>套餐外补买担保价格</w:t>
            </w:r>
          </w:p>
          <w:p>
            <w:pPr>
              <w:pStyle w:val="28"/>
              <w:spacing w:before="73" w:line="420" w:lineRule="exact"/>
              <w:jc w:val="center"/>
              <w:rPr>
                <w:rFonts w:hint="default" w:asciiTheme="minorEastAsia" w:hAnsiTheme="minorEastAsia" w:eastAsiaTheme="minorEastAsia" w:cstheme="minorEastAsia"/>
                <w:b/>
                <w:bCs/>
                <w:color w:val="auto"/>
                <w:spacing w:val="-5"/>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Extra Guarantee Purchase Price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第一类 热交换设备</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372" w:type="dxa"/>
            <w:shd w:val="clear" w:color="auto" w:fill="auto"/>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60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7"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第二类 表面积超过 100 cm²屏幕设备</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60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第三类 灯</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60</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的大型光伏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w:t>
            </w:r>
            <w:r>
              <w:rPr>
                <w:rFonts w:hint="eastAsia" w:asciiTheme="minorHAnsi" w:hAnsiTheme="minorHAnsi" w:eastAsiaTheme="minorEastAsia" w:cstheme="minorBidi"/>
                <w:snapToGrid/>
                <w:kern w:val="2"/>
                <w:sz w:val="24"/>
                <w:szCs w:val="32"/>
                <w:rtl w:val="0"/>
                <w:lang w:val="en-US" w:eastAsia="zh-CN"/>
              </w:rPr>
              <w:t>8</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42"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的小型光伏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w:t>
            </w:r>
            <w:r>
              <w:rPr>
                <w:rFonts w:hint="eastAsia" w:asciiTheme="minorHAnsi" w:hAnsiTheme="minorHAnsi" w:eastAsiaTheme="minorEastAsia" w:cstheme="minorBidi"/>
                <w:snapToGrid/>
                <w:kern w:val="2"/>
                <w:sz w:val="24"/>
                <w:szCs w:val="32"/>
                <w:rtl w:val="0"/>
                <w:lang w:val="en-US" w:eastAsia="zh-CN"/>
              </w:rPr>
              <w:t>8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第六类 单边尺寸不超过 50cm 的 IT 类私人家用电器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Style w:val="17"/>
          <w:rFonts w:ascii="Segoe UI" w:hAnsi="Segoe UI" w:eastAsia="Segoe UI" w:cs="Segoe UI"/>
          <w:b/>
          <w:bCs/>
          <w:i w:val="0"/>
          <w:iCs w:val="0"/>
          <w:caps w:val="0"/>
          <w:color w:val="0F1115"/>
          <w:spacing w:val="0"/>
          <w:sz w:val="20"/>
          <w:szCs w:val="20"/>
          <w:shd w:val="clear" w:fill="FFFFFF"/>
        </w:rPr>
        <w:t>Germany WEEE Offline Recycling Instruction Charging Standards:</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t>德国WEEE线下回收指令收费标准：</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bCs/>
          <w:i w:val="0"/>
          <w:smallCaps w:val="0"/>
          <w:strike w:val="0"/>
          <w:snapToGrid w:val="0"/>
          <w:color w:val="FF0000"/>
          <w:kern w:val="0"/>
          <w:sz w:val="24"/>
          <w:szCs w:val="24"/>
          <w:u w:val="none"/>
          <w:shd w:val="clear" w:fill="auto"/>
          <w:vertAlign w:val="baseline"/>
          <w:rtl w:val="0"/>
          <w:lang w:val="en-US" w:eastAsia="zh-CN" w:bidi="ar-SA"/>
        </w:rPr>
      </w:pPr>
      <w:r>
        <w:rPr>
          <w:rFonts w:ascii="Segoe UI" w:hAnsi="Segoe UI" w:eastAsia="Segoe UI" w:cs="Segoe UI"/>
          <w:i w:val="0"/>
          <w:iCs w:val="0"/>
          <w:caps w:val="0"/>
          <w:color w:val="FF0000"/>
          <w:spacing w:val="0"/>
          <w:sz w:val="19"/>
          <w:szCs w:val="19"/>
          <w:shd w:val="clear" w:fill="FFFFFF"/>
        </w:rPr>
        <w:t>(The following charging standards are based on 2025 prices. If prices are adjusted in 2026, advance notice will be given and a separate supplementary agreement will be signed.)</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r>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t>（以下收费标准基于2025年的价格，若2026年价格有调整，将提前通知并另签补充协议）</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p>
    <w:tbl>
      <w:tblPr>
        <w:tblStyle w:val="15"/>
        <w:tblW w:w="111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7"/>
        <w:gridCol w:w="2746"/>
        <w:gridCol w:w="1745"/>
        <w:gridCol w:w="2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restart"/>
            <w:tcBorders>
              <w:top w:val="single" w:color="auto" w:sz="12"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p>
            <w:pPr>
              <w:keepNext/>
              <w:keepLines w:val="0"/>
              <w:widowControl w:val="0"/>
              <w:suppressLineNumbers w:val="0"/>
              <w:tabs>
                <w:tab w:val="left" w:pos="0"/>
              </w:tabs>
              <w:snapToGrid w:val="0"/>
              <w:spacing w:before="0" w:beforeAutospacing="0" w:after="0" w:afterAutospacing="0" w:line="340" w:lineRule="auto"/>
              <w:ind w:left="0" w:right="0" w:firstLine="1121" w:firstLineChars="400"/>
              <w:jc w:val="left"/>
              <w:rPr>
                <w:rFonts w:hint="eastAsia" w:asciiTheme="minorEastAsia" w:hAnsiTheme="minorEastAsia" w:eastAsiaTheme="minorEastAsia" w:cstheme="minorEastAsia"/>
                <w:b/>
                <w:color w:val="000000"/>
                <w:sz w:val="28"/>
                <w:szCs w:val="28"/>
                <w:shd w:val="clear" w:fill="auto"/>
                <w:vertAlign w:val="baseline"/>
                <w:rtl w:val="0"/>
                <w:lang w:val="en-US" w:eastAsia="zh-CN"/>
              </w:rPr>
            </w:pPr>
            <w:r>
              <w:rPr>
                <w:rFonts w:hint="eastAsia" w:asciiTheme="minorEastAsia" w:hAnsiTheme="minorEastAsia" w:eastAsiaTheme="minorEastAsia" w:cstheme="minorEastAsia"/>
                <w:b/>
                <w:color w:val="000000"/>
                <w:sz w:val="28"/>
                <w:szCs w:val="28"/>
                <w:shd w:val="clear" w:fill="auto"/>
                <w:vertAlign w:val="baseline"/>
                <w:rtl w:val="0"/>
                <w:lang w:val="en-US" w:eastAsia="zh-CN"/>
              </w:rPr>
              <w:t>种类</w:t>
            </w:r>
          </w:p>
          <w:p>
            <w:pPr>
              <w:keepNext/>
              <w:keepLines w:val="0"/>
              <w:widowControl w:val="0"/>
              <w:suppressLineNumbers w:val="0"/>
              <w:tabs>
                <w:tab w:val="left" w:pos="0"/>
              </w:tabs>
              <w:snapToGrid w:val="0"/>
              <w:spacing w:before="0" w:beforeAutospacing="0" w:after="0" w:afterAutospacing="0" w:line="340" w:lineRule="auto"/>
              <w:ind w:left="0" w:right="0" w:firstLine="760" w:firstLineChars="400"/>
              <w:jc w:val="left"/>
              <w:rPr>
                <w:rFonts w:hint="default" w:asciiTheme="minorEastAsia" w:hAnsiTheme="minorEastAsia" w:eastAsiaTheme="minorEastAsia" w:cstheme="minorEastAsia"/>
                <w:b/>
                <w:color w:val="000000"/>
                <w:sz w:val="28"/>
                <w:szCs w:val="28"/>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7201" w:type="dxa"/>
            <w:gridSpan w:val="3"/>
            <w:tcBorders>
              <w:top w:val="single" w:color="auto" w:sz="12"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color w:val="000000"/>
                <w:sz w:val="24"/>
                <w:szCs w:val="24"/>
                <w:shd w:val="clear" w:fill="auto"/>
                <w:vertAlign w:val="baseline"/>
                <w:rtl w:val="0"/>
                <w:lang w:val="en-US" w:eastAsia="zh-CN"/>
              </w:rPr>
            </w:pPr>
            <w:r>
              <w:rPr>
                <w:rFonts w:hint="eastAsia" w:asciiTheme="minorEastAsia" w:hAnsiTheme="minorEastAsia" w:eastAsiaTheme="minorEastAsia" w:cstheme="minorEastAsia"/>
                <w:color w:val="000000"/>
                <w:sz w:val="24"/>
                <w:szCs w:val="24"/>
                <w:shd w:val="clear" w:fill="auto"/>
                <w:vertAlign w:val="baseline"/>
                <w:rtl w:val="0"/>
                <w:lang w:val="en-US" w:eastAsia="zh-CN"/>
              </w:rPr>
              <w:t xml:space="preserve">              </w:t>
            </w:r>
            <w:r>
              <w:rPr>
                <w:rFonts w:hint="eastAsia" w:asciiTheme="minorEastAsia" w:hAnsiTheme="minorEastAsia" w:eastAsiaTheme="minorEastAsia" w:cstheme="minorEastAsia"/>
                <w:b/>
                <w:bCs/>
                <w:color w:val="000000"/>
                <w:sz w:val="28"/>
                <w:szCs w:val="28"/>
                <w:shd w:val="clear" w:fill="auto"/>
                <w:vertAlign w:val="baseline"/>
                <w:rtl w:val="0"/>
                <w:lang w:val="en-US" w:eastAsia="zh-CN"/>
              </w:rPr>
              <w:t xml:space="preserve"> 回收费  </w:t>
            </w:r>
            <w:r>
              <w:rPr>
                <w:rStyle w:val="17"/>
                <w:rFonts w:hint="default" w:ascii="Segoe UI" w:hAnsi="Segoe UI" w:eastAsia="Segoe UI" w:cs="Segoe UI"/>
                <w:b/>
                <w:bCs/>
                <w:i w:val="0"/>
                <w:iCs w:val="0"/>
                <w:caps w:val="0"/>
                <w:color w:val="0F1115"/>
                <w:spacing w:val="0"/>
                <w:sz w:val="19"/>
                <w:szCs w:val="19"/>
                <w:shd w:val="clear" w:fill="FFFFFF"/>
              </w:rPr>
              <w:t>Recycling Fees (EUR)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continue"/>
            <w:tcBorders>
              <w:top w:val="single" w:color="auto" w:sz="4"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tc>
        <w:tc>
          <w:tcPr>
            <w:tcW w:w="2746"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欧元/吨 (Abrollcontainer)</w:t>
            </w:r>
          </w:p>
        </w:tc>
        <w:tc>
          <w:tcPr>
            <w:tcW w:w="1745"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欧元/箱 (Gitterbox)</w:t>
            </w:r>
          </w:p>
        </w:tc>
        <w:tc>
          <w:tcPr>
            <w:tcW w:w="2710" w:type="dxa"/>
            <w:tcBorders>
              <w:top w:val="single" w:color="auto" w:sz="4"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夜间蓄热式电加热器</w:t>
            </w:r>
          </w:p>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Night Storage Heaters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第一类 热交换设备</w:t>
            </w:r>
            <w:r>
              <w:rPr>
                <w:rFonts w:hint="eastAsia" w:asciiTheme="minorHAnsi" w:hAnsiTheme="minorHAnsi" w:eastAsiaTheme="minorEastAsia" w:cstheme="minorBidi"/>
                <w:snapToGrid/>
                <w:kern w:val="2"/>
                <w:sz w:val="24"/>
                <w:szCs w:val="32"/>
                <w:rtl w:val="0"/>
                <w:lang w:val="en-US" w:eastAsia="zh-CN"/>
              </w:rPr>
              <w:t xml:space="preserve">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320欧元/吨+90欧元/次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320EUR/ton+90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第二类 表面积超过 100 cm²屏幕设备</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300欧元/吨+90欧元/次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300EUR/ton+90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第三类 灯</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3: Lamps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1380欧元/吨+90欧元/次+实际产生的包装费</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1380EUR/ton+90 EUR/time+actual packaging costs</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的私人家用电器</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55欧元/吨+90欧元/次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55EUR/ton+ 90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w:t>
            </w:r>
            <w:r>
              <w:rPr>
                <w:rFonts w:hint="eastAsia" w:asciiTheme="minorHAnsi" w:hAnsiTheme="minorHAnsi" w:eastAsiaTheme="minorEastAsia" w:cstheme="minorBidi"/>
                <w:snapToGrid/>
                <w:kern w:val="2"/>
                <w:sz w:val="24"/>
                <w:szCs w:val="32"/>
                <w:rtl w:val="0"/>
                <w:lang w:eastAsia="zh-CN"/>
              </w:rPr>
              <w:t>EUR/ton+90EUR/time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的大型光伏</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640欧元/吨+400欧元/次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640EUR/ton+400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的私人家用电器</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的小型光伏</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640欧元/吨+400欧元/次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w:t>
            </w:r>
            <w:r>
              <w:rPr>
                <w:rFonts w:hint="eastAsia" w:asciiTheme="minorHAnsi" w:hAnsiTheme="minorHAnsi" w:eastAsiaTheme="minorEastAsia" w:cstheme="minorBidi"/>
                <w:snapToGrid/>
                <w:kern w:val="2"/>
                <w:sz w:val="24"/>
                <w:szCs w:val="32"/>
                <w:rtl w:val="0"/>
                <w:lang w:eastAsia="zh-CN"/>
              </w:rPr>
              <w:t>EUR/ton+</w:t>
            </w:r>
            <w:r>
              <w:rPr>
                <w:rFonts w:hint="eastAsia" w:asciiTheme="minorHAnsi" w:hAnsiTheme="minorHAnsi" w:eastAsiaTheme="minorEastAsia" w:cstheme="minorBidi"/>
                <w:snapToGrid/>
                <w:kern w:val="2"/>
                <w:sz w:val="24"/>
                <w:szCs w:val="32"/>
                <w:rtl w:val="0"/>
                <w:lang w:val="en-US" w:eastAsia="zh-CN"/>
              </w:rPr>
              <w:t>40</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第六类 单边尺寸不超过 50cm 的 IT 类私人家用电器</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第一次放置垃圾箱</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First placement of waste container</w:t>
            </w:r>
          </w:p>
        </w:tc>
        <w:tc>
          <w:tcPr>
            <w:tcW w:w="2746"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390欧元/次/个</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default" w:ascii="Segoe UI" w:hAnsi="Segoe UI" w:eastAsia="Segoe UI" w:cs="Segoe UI"/>
                <w:i w:val="0"/>
                <w:iCs w:val="0"/>
                <w:caps w:val="0"/>
                <w:color w:val="0F1115"/>
                <w:spacing w:val="0"/>
                <w:sz w:val="19"/>
                <w:szCs w:val="19"/>
                <w:shd w:val="clear" w:fill="FFFFFF"/>
              </w:rPr>
              <w:t>390 EUR/time/unit</w:t>
            </w:r>
          </w:p>
        </w:tc>
        <w:tc>
          <w:tcPr>
            <w:tcW w:w="1745"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260欧元/次/个</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Segoe UI" w:hAnsi="Segoe UI" w:eastAsia="宋体" w:cs="Segoe UI"/>
                <w:i w:val="0"/>
                <w:iCs w:val="0"/>
                <w:caps w:val="0"/>
                <w:color w:val="0F1115"/>
                <w:spacing w:val="0"/>
                <w:sz w:val="19"/>
                <w:szCs w:val="19"/>
                <w:shd w:val="clear" w:fill="FFFFFF"/>
                <w:lang w:val="en-US" w:eastAsia="zh-CN"/>
              </w:rPr>
              <w:t>26</w:t>
            </w:r>
            <w:r>
              <w:rPr>
                <w:rFonts w:hint="default" w:ascii="Segoe UI" w:hAnsi="Segoe UI" w:eastAsia="Segoe UI" w:cs="Segoe UI"/>
                <w:i w:val="0"/>
                <w:iCs w:val="0"/>
                <w:caps w:val="0"/>
                <w:color w:val="0F1115"/>
                <w:spacing w:val="0"/>
                <w:sz w:val="19"/>
                <w:szCs w:val="19"/>
                <w:shd w:val="clear" w:fill="FFFFFF"/>
              </w:rPr>
              <w:t>0 EUR/time/unit</w:t>
            </w:r>
          </w:p>
        </w:tc>
        <w:tc>
          <w:tcPr>
            <w:tcW w:w="2710" w:type="dxa"/>
            <w:tcBorders>
              <w:top w:val="single" w:color="auto" w:sz="4" w:space="0"/>
              <w:left w:val="single" w:color="auto" w:sz="4" w:space="0"/>
              <w:bottom w:val="single" w:color="auto" w:sz="12"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German Battery Act (Registration – 1 brand + 1 year of reporting, includes official fees and recycling fees within the package, excludes OfH fee addition):Equipment battery renewal package price for 2026: 275 euros (includes 30 euros recycling credit).Industrial battery renewal package price for 2026: 500 euros (includes 300kg recycling credit).Light means of transport (LMT) battery renewal package price for 2026: 375 euros（recycling credit not included ）.</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For each additional brand, the Client shall pay an extra 65 euros.</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2.德国电池法（注册--1 品牌+1 年申报，含官费和套餐内回收费，不含加入OfH的费用），设备电池2026年续费套餐价格为 275 欧元（含30欧回收量），工业电池2026年续费套餐价格为 500 欧元（含300kg回收量）；轻型交通工具电池2026年续费套餐价格为 375 欧元（不含回收量），每增加一个品牌，则甲方需另付 65 欧元。</w:t>
      </w:r>
    </w:p>
    <w:tbl>
      <w:tblPr>
        <w:tblStyle w:val="14"/>
        <w:tblpPr w:leftFromText="180" w:rightFromText="180" w:vertAnchor="text" w:horzAnchor="page" w:tblpX="1310" w:tblpY="134"/>
        <w:tblOverlap w:val="never"/>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99"/>
        <w:gridCol w:w="1972"/>
        <w:gridCol w:w="35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Style w:val="17"/>
                <w:rFonts w:hint="default" w:ascii="Segoe UI" w:hAnsi="Segoe UI" w:eastAsia="Segoe UI" w:cs="Segoe UI"/>
                <w:b/>
                <w:bCs/>
                <w:i w:val="0"/>
                <w:iCs w:val="0"/>
                <w:caps w:val="0"/>
                <w:color w:val="0F1115"/>
                <w:spacing w:val="0"/>
                <w:sz w:val="19"/>
                <w:szCs w:val="19"/>
                <w:shd w:val="clear" w:fill="FFFFFF"/>
                <w:rtl w:val="0"/>
                <w:lang w:eastAsia="zh-CN"/>
              </w:rPr>
              <w:t>Equipment battery</w:t>
            </w:r>
            <w:r>
              <w:rPr>
                <w:rStyle w:val="17"/>
                <w:rFonts w:hint="default" w:ascii="Segoe UI" w:hAnsi="Segoe UI" w:eastAsia="Segoe UI" w:cs="Segoe UI"/>
                <w:b/>
                <w:bCs/>
                <w:i w:val="0"/>
                <w:iCs w:val="0"/>
                <w:caps w:val="0"/>
                <w:color w:val="0F1115"/>
                <w:spacing w:val="0"/>
                <w:sz w:val="19"/>
                <w:szCs w:val="19"/>
                <w:shd w:val="clear" w:fill="FFFFFF"/>
              </w:rPr>
              <w:t xml:space="preserve"> Recycling Package</w:t>
            </w:r>
            <w:r>
              <w:rPr>
                <w:rStyle w:val="17"/>
                <w:rFonts w:hint="eastAsia" w:ascii="Segoe UI" w:hAnsi="Segoe UI" w:eastAsia="宋体" w:cs="Segoe UI"/>
                <w:b/>
                <w:bCs/>
                <w:i w:val="0"/>
                <w:iCs w:val="0"/>
                <w:caps w:val="0"/>
                <w:color w:val="0F1115"/>
                <w:spacing w:val="0"/>
                <w:sz w:val="19"/>
                <w:szCs w:val="19"/>
                <w:shd w:val="clear" w:fill="FFFFFF"/>
                <w:lang w:val="en-US" w:eastAsia="zh-CN"/>
              </w:rPr>
              <w:t xml:space="preserve">     </w:t>
            </w:r>
            <w:r>
              <w:rPr>
                <w:rFonts w:hint="default" w:ascii="宋体" w:hAnsi="宋体" w:eastAsia="宋体" w:cs="宋体"/>
                <w:b/>
                <w:bCs/>
                <w:i w:val="0"/>
                <w:iCs w:val="0"/>
                <w:color w:val="000000"/>
                <w:kern w:val="0"/>
                <w:sz w:val="28"/>
                <w:szCs w:val="28"/>
                <w:u w:val="none"/>
                <w:lang w:eastAsia="zh-CN" w:bidi="ar"/>
                <w:woUserID w:val="1"/>
              </w:rPr>
              <w:t>设备电池</w:t>
            </w:r>
            <w:r>
              <w:rPr>
                <w:rFonts w:hint="eastAsia" w:ascii="宋体" w:hAnsi="宋体" w:eastAsia="宋体" w:cs="宋体"/>
                <w:b/>
                <w:bCs/>
                <w:i w:val="0"/>
                <w:iCs w:val="0"/>
                <w:color w:val="000000"/>
                <w:kern w:val="0"/>
                <w:sz w:val="28"/>
                <w:szCs w:val="28"/>
                <w:u w:val="none"/>
                <w:lang w:val="en-US" w:eastAsia="zh-CN" w:bidi="ar"/>
              </w:rPr>
              <w:t>回收套餐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Segoe UI" w:hAnsi="Segoe UI" w:eastAsia="宋体" w:cs="Segoe UI"/>
                <w:i w:val="0"/>
                <w:iCs w:val="0"/>
                <w:caps w:val="0"/>
                <w:color w:val="0F1115"/>
                <w:spacing w:val="0"/>
                <w:sz w:val="19"/>
                <w:szCs w:val="19"/>
                <w:shd w:val="clear" w:fill="FFFFFF"/>
                <w:lang w:val="en-US" w:eastAsia="zh-CN"/>
              </w:rPr>
            </w:pPr>
            <w:r>
              <w:rPr>
                <w:rFonts w:hint="default" w:ascii="Segoe UI" w:hAnsi="Segoe UI" w:eastAsia="Segoe UI" w:cs="Segoe UI"/>
                <w:i w:val="0"/>
                <w:iCs w:val="0"/>
                <w:caps w:val="0"/>
                <w:color w:val="0F1115"/>
                <w:spacing w:val="0"/>
                <w:sz w:val="19"/>
                <w:szCs w:val="19"/>
                <w:shd w:val="clear" w:fill="FFFFFF"/>
              </w:rPr>
              <w:t>Battery Type</w:t>
            </w:r>
            <w:r>
              <w:rPr>
                <w:rFonts w:hint="eastAsia" w:ascii="Segoe UI" w:hAnsi="Segoe UI" w:eastAsia="宋体" w:cs="Segoe UI"/>
                <w:i w:val="0"/>
                <w:iCs w:val="0"/>
                <w:caps w:val="0"/>
                <w:color w:val="0F1115"/>
                <w:spacing w:val="0"/>
                <w:sz w:val="19"/>
                <w:szCs w:val="19"/>
                <w:shd w:val="clear" w:fill="FFFFFF"/>
                <w:lang w:val="en-US" w:eastAsia="zh-CN"/>
              </w:rPr>
              <w:t xml:space="preserve">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电池种类</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Max. Recycling in Package</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套餐内最大回收量</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Excess Unit Price</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超额单价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Portable - Button Cells</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便携式电池-纽扣电池</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2000个</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0.015 EUR/unit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0.015欧元/个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Segoe UI" w:hAnsi="Segoe UI" w:eastAsia="Segoe UI" w:cs="Segoe UI"/>
                <w:i w:val="0"/>
                <w:iCs w:val="0"/>
                <w:caps w:val="0"/>
                <w:color w:val="0F1115"/>
                <w:spacing w:val="0"/>
                <w:sz w:val="19"/>
                <w:szCs w:val="19"/>
                <w:shd w:val="clear" w:fill="FFFFFF"/>
              </w:rPr>
              <w:t>Portable - Non-button Cells (&gt;5g)</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便携式电池-非纽扣电池（＞5g)</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20kg</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1.5 EUR/kg</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1.5欧元/kg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08"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The package includes 20kg of non-button cells or 2000 button cells. If the package quantity is exceeded, contact staff to calculate the excess amount.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套餐内包含20kg非纽扣电池或2000块纽扣电池，若超出套餐量需联系工作人员核算超额金额。</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Single-Use Plastics Law (First registration - unlimited categories + 1 year declaration, excluding recycling fees) The 2026 renewal package price is 100 Euros; for each additional category added subsequently, Party A needs to pay an additional 25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3.德国一次性塑料法（首次注册-不限品类+1年申报，不含回收费）2026年续费套餐价格为 100 欧元，每二次新增品类，则甲方需另付 25 欧元。</w:t>
      </w:r>
    </w:p>
    <w:tbl>
      <w:tblPr>
        <w:tblStyle w:val="14"/>
        <w:tblW w:w="8428" w:type="dxa"/>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9"/>
        <w:gridCol w:w="3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42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一次性塑料法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产品材质</w:t>
            </w:r>
          </w:p>
        </w:tc>
        <w:tc>
          <w:tcPr>
            <w:tcW w:w="355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烟草滤头</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 xml:space="preserve"> 8.972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一次性饮料杯</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1.236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一次性食品包装盒</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0.177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塑料袋或塑料膜包装</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0.876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不可回收的饮料瓶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0.181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0.001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轻塑料袋</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3.801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湿纸巾</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0.061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气球</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4.340</w:t>
            </w:r>
          </w:p>
        </w:tc>
      </w:tr>
    </w:tbl>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Packaging Law (First registration - 1 brand + 1 year declaration, including 100kg paper + 10kg plastic recycling volume) The 2026 renewal package price is 60 Euros; for each additional brand added subsequently, Party A needs to pay an additional 15 Euros.</w:t>
      </w:r>
    </w:p>
    <w:p>
      <w:pPr>
        <w:widowControl w:val="0"/>
        <w:numPr>
          <w:ilvl w:val="0"/>
          <w:numId w:val="2"/>
        </w:numPr>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德国包装法（首次注册-1品牌+1年申报，含100kg纸+10kg塑料回收量）2026年续费套餐价格为 60 欧元，每二次新增品牌，则甲方需另付 15 欧元。</w:t>
      </w:r>
    </w:p>
    <w:tbl>
      <w:tblPr>
        <w:tblStyle w:val="14"/>
        <w:tblW w:w="8608" w:type="dxa"/>
        <w:tblInd w:w="14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59"/>
        <w:gridCol w:w="3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德国包装法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包装材质</w:t>
            </w:r>
          </w:p>
        </w:tc>
        <w:tc>
          <w:tcPr>
            <w:tcW w:w="394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玻璃</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纸张/纸板/纸箱</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default" w:ascii="Arial" w:hAnsi="Arial" w:eastAsia="Arial" w:cs="Arial"/>
                <w:snapToGrid w:val="0"/>
                <w:color w:val="000000"/>
                <w:kern w:val="0"/>
                <w:sz w:val="21"/>
                <w:szCs w:val="21"/>
                <w:lang w:val="en-US" w:eastAsia="zh-CN" w:bidi="ar"/>
                <w:woUserID w:val="1"/>
              </w:rPr>
              <w:t>铁金属</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铝</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饮料纸盒包装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其他复合包装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tabs>
                <w:tab w:val="left" w:pos="5359"/>
              </w:tabs>
              <w:kinsoku w:val="0"/>
              <w:autoSpaceDE w:val="0"/>
              <w:autoSpaceDN/>
              <w:adjustRightInd w:val="0"/>
              <w:snapToGrid w:val="0"/>
              <w:spacing w:before="157" w:beforeLines="50" w:beforeAutospacing="0" w:after="219" w:afterLines="70" w:afterAutospacing="0"/>
              <w:ind w:left="0" w:right="0"/>
              <w:jc w:val="left"/>
              <w:textAlignment w:val="center"/>
              <w:rPr>
                <w:rFonts w:hint="eastAsia" w:ascii="宋体" w:hAnsi="宋体" w:eastAsia="宋体" w:cs="宋体"/>
                <w:i w:val="0"/>
                <w:color w:val="FF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其他材料包括木材和软木等天然材料、织物、瓷器、炻器和其他非铁或铝金属。</w:t>
            </w:r>
          </w:p>
        </w:tc>
      </w:tr>
    </w:tbl>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5.各项目注销费：</w:t>
      </w:r>
    </w:p>
    <w:tbl>
      <w:tblPr>
        <w:tblStyle w:val="15"/>
        <w:tblW w:w="9838" w:type="dxa"/>
        <w:tblInd w:w="6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129"/>
        <w:gridCol w:w="3729"/>
        <w:gridCol w:w="2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6858"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注销项目</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注销价格（欧元）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德国WEEE</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每个公司账户</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每个品类证书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德国电池法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额外品牌证书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德国包装法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德国一次性塑料法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bl>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r>
        <w:rPr>
          <w:rStyle w:val="17"/>
          <w:rFonts w:ascii="Segoe UI" w:hAnsi="Segoe UI" w:eastAsia="Segoe UI" w:cs="Segoe UI"/>
          <w:b/>
          <w:bCs/>
          <w:i w:val="0"/>
          <w:iCs w:val="0"/>
          <w:caps w:val="0"/>
          <w:color w:val="0F1115"/>
          <w:spacing w:val="0"/>
          <w:sz w:val="19"/>
          <w:szCs w:val="19"/>
          <w:shd w:val="clear" w:fill="FFFFFF"/>
        </w:rPr>
        <w:t>Annex II: EPR Quotation for Countries Other Than Germany</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240" w:firstLineChars="10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lang w:val="en-US" w:eastAsia="zh-CN"/>
        </w:rPr>
        <w:t>附件二、除德国外其他国家EPR报价</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46" w:after="0" w:line="220" w:lineRule="auto"/>
        <w:ind w:right="0"/>
        <w:jc w:val="left"/>
        <w:rPr>
          <w:rFonts w:ascii="Calibri" w:hAnsi="Calibri" w:eastAsia="Calibri" w:cs="Calibri"/>
          <w:color w:val="000000"/>
          <w:sz w:val="24"/>
          <w:szCs w:val="24"/>
          <w:shd w:val="clear" w:fill="auto"/>
        </w:rPr>
        <w:sectPr>
          <w:headerReference r:id="rId3" w:type="default"/>
          <w:footerReference r:id="rId4" w:type="default"/>
          <w:pgSz w:w="12220" w:h="17060"/>
          <w:pgMar w:top="720" w:right="624" w:bottom="720" w:left="624" w:header="0" w:footer="0" w:gutter="0"/>
          <w:pgNumType w:fmt="numberInDash" w:start="1"/>
          <w:cols w:space="720" w:num="1"/>
        </w:sectPr>
      </w:pPr>
    </w:p>
    <w:p/>
    <w:p>
      <w:pPr>
        <w:sectPr>
          <w:type w:val="continuous"/>
          <w:pgSz w:w="12220" w:h="17060"/>
          <w:pgMar w:top="1313" w:right="1265" w:bottom="0" w:left="1764" w:header="0" w:footer="0" w:gutter="0"/>
          <w:pgNumType w:fmt="numberInDash"/>
          <w:cols w:equalWidth="0" w:num="2">
            <w:col w:w="4545" w:space="100"/>
            <w:col w:w="4545"/>
          </w:cols>
        </w:sectPr>
      </w:pPr>
    </w:p>
    <w:p>
      <w:r>
        <w:rPr>
          <w:rFonts w:ascii="Times New Roman" w:hAnsi="Times New Roman" w:eastAsia="宋体" w:cs="Times New Roman"/>
          <w:b/>
          <w:sz w:val="28"/>
        </w:rPr>
        <w:t>专项补充协议</w:t>
      </w:r>
    </w:p>
    <w:p>
      <w:r>
        <w:rPr>
          <w:rFonts w:ascii="Times New Roman" w:hAnsi="Times New Roman" w:eastAsia="宋体" w:cs="Times New Roman"/>
          <w:b/>
          <w:sz w:val="24"/>
        </w:rPr>
        <w:t>比利时 · 电池法</w:t>
      </w:r>
    </w:p>
    <w:p>
      <w:r>
        <w:rPr>
          <w:rFonts w:ascii="Times New Roman" w:hAnsi="Times New Roman" w:eastAsia="宋体" w:cs="Times New Roman"/>
          <w:b/>
          <w:color w:val="C00000"/>
          <w:sz w:val="24"/>
        </w:rPr>
        <w:t>1、严重违约及提前终止</w:t>
      </w:r>
    </w:p>
    <w:p>
      <w:r>
        <w:rPr>
          <w:rFonts w:ascii="Times New Roman" w:hAnsi="Times New Roman" w:eastAsia="宋体" w:cs="Times New Roman"/>
          <w:b w:val="0"/>
          <w:color w:val="C00000"/>
          <w:sz w:val="24"/>
        </w:rPr>
        <w:t>任何一方严重违反本协议，且违约方在收到合理详细描述违约行为的正式书面通知后十五（15）个日历日内未予补救的，非违约方有权在协议期限届满前终止本协议，并应在补救期届满后无不合理延迟地书面通知终止。</w:t>
      </w:r>
    </w:p>
    <w:p/>
    <w:p>
      <w:r>
        <w:rPr>
          <w:rFonts w:ascii="Times New Roman" w:hAnsi="Times New Roman" w:eastAsia="宋体" w:cs="Times New Roman"/>
          <w:b/>
          <w:sz w:val="24"/>
        </w:rPr>
        <w:t>比利时 · 包装法</w:t>
      </w:r>
    </w:p>
    <w:p>
      <w:r>
        <w:rPr>
          <w:rFonts w:ascii="Times New Roman" w:hAnsi="Times New Roman" w:eastAsia="宋体" w:cs="Times New Roman"/>
          <w:b/>
          <w:color w:val="C00000"/>
          <w:sz w:val="24"/>
        </w:rPr>
        <w:t>1、年度申报及逾期责任</w:t>
      </w:r>
    </w:p>
    <w:p>
      <w:r>
        <w:rPr>
          <w:rFonts w:ascii="Times New Roman" w:hAnsi="Times New Roman" w:eastAsia="宋体" w:cs="Times New Roman"/>
          <w:b w:val="0"/>
          <w:color w:val="C00000"/>
          <w:sz w:val="24"/>
        </w:rPr>
        <w:t>甲方应就上一日历年实际投放市场的全部家庭来源包装，最迟于每年2月28日通过服务商提供的在线申报程序提交完整、准确的年度申报，即使已选择中间定期申报亦然；甲方应指定申报负责人并将其联系方式告知乙方，按服务商网站上所载的申报模板和标准填写申报，并遵守在线申报的使用条件。甲方加入服务商体系的当年，申报于提交已签署或已接受的合同时提交；如甲方在上一日历年未投放包装，则仅可在加入年份的次年最迟2月28日就加入当年投放的包装提交年度申报。甲方可在本应提交申报的日历年度的6月30日之前提出更正请求，经服务商受理后按更正后的申报重新计算应缴会费。甲方未在2月28日前提交年度申报的，应按年度会费的1%乘以迟延月数支付罚款，每月不低于100欧元，并另行支付100欧元的行政费用定额赔偿金及实际遭受损害的赔偿。如甲方在某一日历年投放市场的包装（家庭与工业累计）少于300千克，则无须提交该年度申报，但仍可保留会员身份以在包装上使用绿点标志，并应最迟于2月28日就该年度提交诚信声明并支付最低会费100欧元；在委托代理情形下，该申报义务豁免不适用。</w:t>
      </w:r>
    </w:p>
    <w:p>
      <w:r>
        <w:rPr>
          <w:rFonts w:ascii="Times New Roman" w:hAnsi="Times New Roman" w:eastAsia="宋体" w:cs="Times New Roman"/>
          <w:b/>
          <w:color w:val="C00000"/>
          <w:sz w:val="24"/>
        </w:rPr>
        <w:t>2、年度分摊款及追溯加入费用</w:t>
      </w:r>
    </w:p>
    <w:p>
      <w:r>
        <w:rPr>
          <w:rFonts w:ascii="Times New Roman" w:hAnsi="Times New Roman" w:eastAsia="宋体" w:cs="Times New Roman"/>
          <w:b w:val="0"/>
          <w:color w:val="C00000"/>
          <w:sz w:val="24"/>
        </w:rPr>
        <w:t>甲方应就其投放市场的全部包装（可重复使用包装除外）向乙方支付年度分摊款，该分摊款包括基础服务补偿；未包含在基础服务内的给付、交付和服务，按实际工资成本及实际发生费用另行计收。年度分摊款按甲方申报的投放市场包装的吨位和性质乘以适用的绿点费率计算；从事电子商务并通过在线平台在比利时市场投放包装的甲方，可采用简化申报系统，此时按所申报包裹类型数量以加权平均构成估算吨位，并适用考虑年度附加费的平均费率。绿点费率（含附加费）由服务商董事会每年确定并自其确定的生效日期起适用，乙方应每年告知甲方。若按申报计算的实际分摊款低于100欧元，甲方应支付100欧元的年度分摊款；甲方通过自动扣款付款并在规定期限内完整提交申报的，可减免50欧元，但自动扣款被取消或申报迟延、不完整的，该减免立即失效。甲方追溯加入的，应就追溯期间（最长五年）支付分摊款：追溯第一年、第二年按追溯申报的第一年实际吨位及相应年度绿点费率计算（甲方可选择以第二年实际吨位作为第二年计算基础）；追溯第三年至第五年，甲方属S或XS细分市场的按每年150欧元、属M或L细分市场的按每年250欧元支付定额分摊款。</w:t>
      </w:r>
    </w:p>
    <w:p>
      <w:r>
        <w:rPr>
          <w:rFonts w:ascii="Times New Roman" w:hAnsi="Times New Roman" w:eastAsia="宋体" w:cs="Times New Roman"/>
          <w:b/>
          <w:color w:val="C00000"/>
          <w:sz w:val="24"/>
        </w:rPr>
        <w:t>3、分摊款支付及逾期责任</w:t>
      </w:r>
    </w:p>
    <w:p>
      <w:r>
        <w:rPr>
          <w:rFonts w:ascii="Times New Roman" w:hAnsi="Times New Roman" w:eastAsia="宋体" w:cs="Times New Roman"/>
          <w:b w:val="0"/>
          <w:color w:val="C00000"/>
          <w:sz w:val="24"/>
        </w:rPr>
        <w:t>甲方应按乙方根据其最新申报计算并开具的中期发票支付分摊款，年度终了后按甲方当年实际投放市场的包装申报进行结算：已付中期发票总额低于应付分摊款的，甲方应补付差额；高于应付分摊款的，乙方开具贷项通知单。年度财务分摊款不超过一千欧元（1000 EUR）的，通过自动扣款支付；超过一千欧元（1000 EUR）的，通过银行转账支付。甲方应在发票开具月份结束后的三十（30）个日历日内付清全部款项，银行费用由甲方承担；甲方要求纸质发票或发票副本的，乙方可按每张五欧元（5 EUR）收取管理费。甲方对发票的异议，须在发票日期起三十（30）个日历日内以挂号信送达乙方方为有效。甲方逾期付款的，乙方可依次发送免费催告、收取十欧元（10 EUR）催告费的第二次催告，以及附催告函和十五欧元（15 EUR）补偿金的第三次即最后一次催告；逾期发票自到期日起按法定利率加收迟延利息，并加收10%的定额补偿金（每张发票最低五十欧元（50 EUR）），乙方委托律师或催收机构的费用亦由甲方承担。任何一张发票逾期未付，其他尚未到期的发票即立即到期应付。</w:t>
      </w:r>
    </w:p>
    <w:p>
      <w:r>
        <w:rPr>
          <w:rFonts w:ascii="Times New Roman" w:hAnsi="Times New Roman" w:eastAsia="宋体" w:cs="Times New Roman"/>
          <w:b/>
          <w:color w:val="C00000"/>
          <w:sz w:val="24"/>
        </w:rPr>
        <w:t>4、合同解除及通知期限</w:t>
      </w:r>
    </w:p>
    <w:p>
      <w:r>
        <w:rPr>
          <w:rFonts w:ascii="Times New Roman" w:hAnsi="Times New Roman" w:eastAsia="宋体" w:cs="Times New Roman"/>
          <w:b w:val="0"/>
          <w:color w:val="C00000"/>
          <w:sz w:val="24"/>
        </w:rPr>
        <w:t>任何一方均可解除本合同，但解除仅以每年12月31日为生效日，且须以挂号信并附回执方式至少提前三（3）个月通知另一方。</w:t>
      </w:r>
    </w:p>
    <w:p/>
    <w:sectPr>
      <w:pgSz w:w="12240" w:h="15840"/>
      <w:pgMar w:top="1440" w:right="1800" w:bottom="1440" w:left="1800" w:header="0" w:footer="0" w:gutter="0"/>
      <w:pgNumType w:fmt="numberInDash"/>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Georgia">
    <w:panose1 w:val="02040502050405020303"/>
    <w:charset w:val="00"/>
    <w:family w:val="auto"/>
    <w:pitch w:val="default"/>
    <w:sig w:usb0="00000287" w:usb1="00000000" w:usb2="00000000" w:usb3="00000000" w:csb0="2000009F" w:csb1="00000000"/>
  </w:font>
  <w:font w:name="Segoe UI">
    <w:altName w:val="Arial"/>
    <w:panose1 w:val="020B0502040204020203"/>
    <w:charset w:val="00"/>
    <w:family w:val="auto"/>
    <w:pitch w:val="default"/>
    <w:sig w:usb0="00000000" w:usb1="00000000" w:usb2="00000009" w:usb3="00000000" w:csb0="200001FF" w:csb1="0000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君黑KW">
    <w:panose1 w:val="00020600040101010101"/>
    <w:charset w:val="86"/>
    <w:family w:val="auto"/>
    <w:pitch w:val="default"/>
    <w:sig w:usb0="A00002BF" w:usb1="0A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rPr>
        <w:rFonts w:ascii="Arial" w:hAnsi="Arial" w:eastAsia="Arial" w:cs="Arial"/>
        <w:b w:val="0"/>
        <w:i w:val="0"/>
        <w:smallCaps w:val="0"/>
        <w:strike w:val="0"/>
        <w:color w:val="000000"/>
        <w:sz w:val="18"/>
        <w:szCs w:val="18"/>
        <w:u w:val="none"/>
        <w:shd w:val="clear" w:fill="auto"/>
        <w:vertAlign w:val="baseline"/>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520" w:firstLineChars="1600"/>
      <w:rPr>
        <w:rFonts w:hint="eastAsia" w:eastAsia="宋体" w:cs="Times New Roman" w:asciiTheme="minorAscii" w:hAnsiTheme="minorAscii"/>
        <w:b w:val="0"/>
        <w:i w:val="0"/>
        <w:smallCaps w:val="0"/>
        <w:strike w:val="0"/>
        <w:color w:val="000000"/>
        <w:sz w:val="18"/>
        <w:szCs w:val="18"/>
        <w:u w:val="none"/>
        <w:shd w:val="clear" w:fill="auto"/>
        <w:vertAlign w:val="baseline"/>
        <w:rtl w:val="0"/>
        <w:lang w:val="en-US" w:eastAsia="zh-CN"/>
      </w:rPr>
    </w:pP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0288" behindDoc="0" locked="0" layoutInCell="1" allowOverlap="1">
              <wp:simplePos x="0" y="0"/>
              <wp:positionH relativeFrom="page">
                <wp:posOffset>589915</wp:posOffset>
              </wp:positionH>
              <wp:positionV relativeFrom="page">
                <wp:posOffset>356870</wp:posOffset>
              </wp:positionV>
              <wp:extent cx="9525" cy="12700"/>
              <wp:effectExtent l="0" t="0" r="0" b="0"/>
              <wp:wrapNone/>
              <wp:docPr id="2" name="任意多边形 7"/>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46.45pt;margin-top:28.1pt;height:1pt;width:0.75pt;mso-position-horizontal-relative:page;mso-position-vertical-relative:page;z-index:251660288;v-text-anchor:middle;mso-width-relative:page;mso-height-relative:page;" fillcolor="#000000" filled="t" stroked="f" coordsize="6400800,9525" o:gfxdata="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C57GC71wAAAAcBAAAPAAAAAAAAAAEAIAAAADgAAABkcnMvZG93bnJldi54&#10;bWxQSwECFAAUAAAACACHTuJAEIKM1V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position w:val="-7"/>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19" w:lineRule="auto"/>
      <w:ind w:right="0"/>
      <w:jc w:val="left"/>
      <w:rPr>
        <w:rFonts w:hint="default" w:ascii="宋体" w:hAnsi="宋体" w:eastAsia="宋体" w:cs="宋体"/>
        <w:b w:val="0"/>
        <w:i w:val="0"/>
        <w:smallCaps w:val="0"/>
        <w:strike w:val="0"/>
        <w:color w:val="000000"/>
        <w:sz w:val="20"/>
        <w:szCs w:val="20"/>
        <w:u w:val="none"/>
        <w:shd w:val="clear" w:fill="auto"/>
        <w:vertAlign w:val="baseline"/>
        <w:rtl w:val="0"/>
        <w:lang w:val="en-US" w:eastAsia="zh-CN"/>
      </w:rPr>
    </w:pPr>
    <w:r>
      <mc:AlternateContent>
        <mc:Choice Requires="wps">
          <w:drawing>
            <wp:anchor distT="0" distB="0" distL="114300" distR="114300" simplePos="0" relativeHeight="251659264" behindDoc="0" locked="0" layoutInCell="0" allowOverlap="1">
              <wp:simplePos x="0" y="0"/>
              <wp:positionH relativeFrom="page">
                <wp:posOffset>753745</wp:posOffset>
              </wp:positionH>
              <wp:positionV relativeFrom="page">
                <wp:posOffset>666115</wp:posOffset>
              </wp:positionV>
              <wp:extent cx="6400800" cy="9525"/>
              <wp:effectExtent l="0" t="0" r="0" b="0"/>
              <wp:wrapNone/>
              <wp:docPr id="3"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9.35pt;margin-top:52.45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BGnRQXZAAAADAEAAA8AAAAAAAAAAQAgAAAA&#10;OAAAAGRycy9kb3ducmV2LnhtbFBLAQIUABQAAAAIAIdO4kB5y/5S9AEAADAEAAAOAAAAAAAAAAEA&#10;IAAAAD4BAABkcnMvZTJvRG9jLnhtbFBLBQYAAAAABgAGAFkBAACkBQAAAAA=&#10;" path="m0,0l10080,0,10080,14,0,14,0,0xe">
              <v:fill on="t" focussize="0,0"/>
              <v:stroke on="f"/>
              <v:imagedata o:title=""/>
              <o:lock v:ext="edit" aspectratio="f"/>
            </v:shape>
          </w:pict>
        </mc:Fallback>
      </mc:AlternateContent>
    </w:r>
    <w:r>
      <w:drawing>
        <wp:inline distT="0" distB="0" distL="114300" distR="114300">
          <wp:extent cx="1664335" cy="495935"/>
          <wp:effectExtent l="0" t="0" r="12065" b="0"/>
          <wp:docPr id="4"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1312" behindDoc="0" locked="0" layoutInCell="1" allowOverlap="1">
              <wp:simplePos x="0" y="0"/>
              <wp:positionH relativeFrom="page">
                <wp:posOffset>742315</wp:posOffset>
              </wp:positionH>
              <wp:positionV relativeFrom="page">
                <wp:posOffset>509270</wp:posOffset>
              </wp:positionV>
              <wp:extent cx="9525" cy="12700"/>
              <wp:effectExtent l="0" t="0" r="0" b="0"/>
              <wp:wrapNone/>
              <wp:docPr id="5" name="任意多边形 2"/>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58.45pt;margin-top:40.1pt;height:1pt;width:0.75pt;mso-position-horizontal-relative:page;mso-position-vertical-relative:page;z-index:251661312;v-text-anchor:middle;mso-width-relative:page;mso-height-relative:page;" fillcolor="#000000" filled="t" stroked="f" coordsize="6400800,9525" o:gfxdata="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B5PCo71wAAAAkBAAAPAAAAAAAAAAEAIAAAADgAAABkcnMvZG93bnJldi54&#10;bWxQSwECFAAUAAAACACHTuJAVkeKXl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lang w:val="en-US" w:eastAsia="zh-CN"/>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hint="eastAsia" w:ascii="宋体" w:hAnsi="宋体" w:eastAsia="宋体" w:cs="宋体"/>
        <w:b w:val="0"/>
        <w:i w:val="0"/>
        <w:smallCaps w:val="0"/>
        <w:strike w:val="0"/>
        <w:color w:val="000000"/>
        <w:sz w:val="20"/>
        <w:szCs w:val="20"/>
        <w:u w:val="none"/>
        <w:shd w:val="clear" w:fill="auto"/>
        <w:vertAlign w:val="baseline"/>
        <w:rtl w:val="0"/>
      </w:rPr>
      <w:t>202</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5111802</w:t>
    </w:r>
  </w:p>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BF85E2"/>
    <w:multiLevelType w:val="singleLevel"/>
    <w:tmpl w:val="FFBF85E2"/>
    <w:lvl w:ilvl="0" w:tentative="0">
      <w:start w:val="4"/>
      <w:numFmt w:val="decimal"/>
      <w:lvlText w:val="%1."/>
      <w:lvlJc w:val="left"/>
      <w:pPr>
        <w:tabs>
          <w:tab w:val="left" w:pos="312"/>
        </w:tabs>
      </w:pPr>
    </w:lvl>
  </w:abstractNum>
  <w:abstractNum w:abstractNumId="1">
    <w:nsid w:val="71EED039"/>
    <w:multiLevelType w:val="singleLevel"/>
    <w:tmpl w:val="71EED03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0"/>
  <w:displayVerticalDrawingGridEvery w:val="2"/>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ZWY2YTlhNGE0NGQxZWU1NjAzNDJiMjBlYTg1Yjg4MzQifQ=="/>
  </w:docVars>
  <w:rsids>
    <w:rsidRoot w:val="00000000"/>
    <w:rsid w:val="017165B7"/>
    <w:rsid w:val="03BE185C"/>
    <w:rsid w:val="041F054D"/>
    <w:rsid w:val="05AA02EA"/>
    <w:rsid w:val="061E4834"/>
    <w:rsid w:val="0B8010D6"/>
    <w:rsid w:val="0DA41AC3"/>
    <w:rsid w:val="103D129C"/>
    <w:rsid w:val="107631A8"/>
    <w:rsid w:val="15542020"/>
    <w:rsid w:val="15E95CAE"/>
    <w:rsid w:val="19436634"/>
    <w:rsid w:val="1BCD6688"/>
    <w:rsid w:val="1EB27B42"/>
    <w:rsid w:val="1EED912B"/>
    <w:rsid w:val="205B24B5"/>
    <w:rsid w:val="26775B6F"/>
    <w:rsid w:val="27433CA3"/>
    <w:rsid w:val="27D33279"/>
    <w:rsid w:val="28040F3B"/>
    <w:rsid w:val="29914097"/>
    <w:rsid w:val="2A25130C"/>
    <w:rsid w:val="2D1B54A6"/>
    <w:rsid w:val="2EA731B2"/>
    <w:rsid w:val="30FB1BB1"/>
    <w:rsid w:val="346534AA"/>
    <w:rsid w:val="34D26EB9"/>
    <w:rsid w:val="36484E32"/>
    <w:rsid w:val="36F17277"/>
    <w:rsid w:val="373816F7"/>
    <w:rsid w:val="38007385"/>
    <w:rsid w:val="39756BD2"/>
    <w:rsid w:val="39E24F08"/>
    <w:rsid w:val="3D2A5291"/>
    <w:rsid w:val="3DFB180B"/>
    <w:rsid w:val="3EA80B63"/>
    <w:rsid w:val="3FE47979"/>
    <w:rsid w:val="42C6780A"/>
    <w:rsid w:val="438D0565"/>
    <w:rsid w:val="43A67541"/>
    <w:rsid w:val="43B12268"/>
    <w:rsid w:val="45260A34"/>
    <w:rsid w:val="461435E6"/>
    <w:rsid w:val="462E5DF2"/>
    <w:rsid w:val="499D7746"/>
    <w:rsid w:val="4AF15640"/>
    <w:rsid w:val="4AFB026D"/>
    <w:rsid w:val="4C2537F3"/>
    <w:rsid w:val="4FBF94E7"/>
    <w:rsid w:val="524000AD"/>
    <w:rsid w:val="52C41033"/>
    <w:rsid w:val="58F570FE"/>
    <w:rsid w:val="5A054C64"/>
    <w:rsid w:val="5AD05206"/>
    <w:rsid w:val="5AF11C90"/>
    <w:rsid w:val="5EBB3B43"/>
    <w:rsid w:val="5FDA449D"/>
    <w:rsid w:val="61E433B1"/>
    <w:rsid w:val="635A5D3C"/>
    <w:rsid w:val="646F78AA"/>
    <w:rsid w:val="649519D3"/>
    <w:rsid w:val="65C52A73"/>
    <w:rsid w:val="69FB731B"/>
    <w:rsid w:val="70B750DD"/>
    <w:rsid w:val="70C54B1D"/>
    <w:rsid w:val="713BB4C7"/>
    <w:rsid w:val="73444A77"/>
    <w:rsid w:val="76AC6CC3"/>
    <w:rsid w:val="76B86E8E"/>
    <w:rsid w:val="7772528F"/>
    <w:rsid w:val="79E919C1"/>
    <w:rsid w:val="7B38059E"/>
    <w:rsid w:val="7BDF6C6B"/>
    <w:rsid w:val="7BFE172B"/>
    <w:rsid w:val="7E6651B6"/>
    <w:rsid w:val="7FD31C0F"/>
    <w:rsid w:val="7FF19F74"/>
    <w:rsid w:val="DEFFDBBD"/>
    <w:rsid w:val="F3DC70B7"/>
    <w:rsid w:val="F77F802A"/>
    <w:rsid w:val="FDBBE3F0"/>
    <w:rsid w:val="FFFFF0CA"/>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qFormat/>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16">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8">
    <w:name w:val="Body Text"/>
    <w:basedOn w:val="1"/>
    <w:qFormat/>
    <w:uiPriority w:val="0"/>
    <w:rPr>
      <w:rFonts w:ascii="宋体" w:hAnsi="宋体" w:eastAsia="宋体" w:cs="宋体"/>
      <w:sz w:val="22"/>
      <w:szCs w:val="22"/>
      <w:lang w:val="en-US" w:eastAsia="en-US"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Title"/>
    <w:basedOn w:val="1"/>
    <w:next w:val="1"/>
    <w:qFormat/>
    <w:uiPriority w:val="0"/>
    <w:pPr>
      <w:keepNext/>
      <w:keepLines/>
      <w:pageBreakBefore w:val="0"/>
      <w:spacing w:before="480" w:after="120"/>
    </w:pPr>
    <w:rPr>
      <w:b/>
      <w:sz w:val="72"/>
      <w:szCs w:val="72"/>
    </w:rPr>
  </w:style>
  <w:style w:type="table" w:styleId="15">
    <w:name w:val="Table Grid"/>
    <w:basedOn w:val="1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7">
    <w:name w:val="Strong"/>
    <w:basedOn w:val="16"/>
    <w:qFormat/>
    <w:uiPriority w:val="0"/>
    <w:rPr>
      <w:b/>
    </w:rPr>
  </w:style>
  <w:style w:type="table" w:customStyle="1" w:styleId="18">
    <w:name w:val="Table Normal"/>
    <w:semiHidden/>
    <w:unhideWhenUsed/>
    <w:qFormat/>
    <w:uiPriority w:val="0"/>
    <w:tblPr>
      <w:tblLayout w:type="fixed"/>
      <w:tblCellMar>
        <w:top w:w="0" w:type="dxa"/>
        <w:left w:w="0" w:type="dxa"/>
        <w:bottom w:w="0" w:type="dxa"/>
        <w:right w:w="0" w:type="dxa"/>
      </w:tblCellMar>
    </w:tblPr>
  </w:style>
  <w:style w:type="table" w:customStyle="1" w:styleId="19">
    <w:name w:val="_Style 49"/>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0">
    <w:name w:val="_Style 50"/>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1">
    <w:name w:val="_Style 51"/>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2">
    <w:name w:val="_Style 52"/>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3">
    <w:name w:val="_Style 21"/>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4">
    <w:name w:val="_Style 22"/>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5">
    <w:name w:val="_Style 23"/>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6">
    <w:name w:val="_Style 24"/>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7">
    <w:name w:val="_Style 25"/>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1507</Words>
  <Characters>1769</Characters>
  <Lines>1</Lines>
  <Paragraphs>1</Paragraphs>
  <TotalTime>0</TotalTime>
  <ScaleCrop>false</ScaleCrop>
  <LinksUpToDate>false</LinksUpToDate>
  <CharactersWithSpaces>2184</CharactersWithSpaces>
  <Application>WWO_base_provider_20211025155225-48f58d7621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2023-12-29T23:22:00Z</dcterms:created>
  <dc:creator>哈哈五爷</dc:creator>
  <cp:lastModifiedBy>ECOPV01</cp:lastModifiedBy>
  <dcterms:modified xsi:type="dcterms:W3CDTF">2026-08-14T14:06:53Z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9EFCDFBEEBDB4310A1EF6AFDCF8EEDC5_13</vt:lpwstr>
  </property>
  <property fmtid="{D5CDD505-2E9C-101B-9397-08002B2CF9AE}" pid="4" name="KSOTemplateDocerSaveRecord">
    <vt:lpwstr>eyJoZGlkIjoiOTc3M2Y5NzIzMDFlZjAyY2Q4Njk5ODkyYjFjNzBiNTQiLCJ1c2VySWQiOiIxNjEzMjY4ODM3In0=</vt:lpwstr>
  </property>
</Properties>
</file>